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13650AF9" w14:textId="77777777" w:rsidTr="005032D6">
        <w:trPr>
          <w:trHeight w:val="3574"/>
        </w:trPr>
        <w:tc>
          <w:tcPr>
            <w:tcW w:w="9184" w:type="dxa"/>
            <w:gridSpan w:val="3"/>
            <w:vAlign w:val="bottom"/>
            <w:hideMark/>
          </w:tcPr>
          <w:p w14:paraId="3DD444ED" w14:textId="1109053A" w:rsidR="00714DD5" w:rsidRDefault="005432C7">
            <w:pPr>
              <w:pStyle w:val="Title"/>
              <w:rPr>
                <w:sz w:val="20"/>
                <w:szCs w:val="20"/>
              </w:rPr>
            </w:pPr>
            <w:r>
              <w:t>Init</w:t>
            </w:r>
            <w:r w:rsidR="00B87539">
              <w:t xml:space="preserve">ial Version of reserve level Declaration Guidelines </w:t>
            </w:r>
          </w:p>
        </w:tc>
      </w:tr>
      <w:tr w:rsidR="00714DD5" w14:paraId="30E95A7B" w14:textId="77777777" w:rsidTr="00714DD5">
        <w:trPr>
          <w:trHeight w:val="437"/>
        </w:trPr>
        <w:tc>
          <w:tcPr>
            <w:tcW w:w="9184" w:type="dxa"/>
            <w:gridSpan w:val="3"/>
          </w:tcPr>
          <w:p w14:paraId="2662A1E3" w14:textId="77777777" w:rsidR="00714DD5" w:rsidRDefault="00714DD5" w:rsidP="004C5114">
            <w:pPr>
              <w:pStyle w:val="BodyText"/>
            </w:pPr>
          </w:p>
        </w:tc>
      </w:tr>
      <w:tr w:rsidR="00714DD5" w14:paraId="6DA14651" w14:textId="77777777" w:rsidTr="00714DD5">
        <w:trPr>
          <w:trHeight w:val="1843"/>
        </w:trPr>
        <w:tc>
          <w:tcPr>
            <w:tcW w:w="9184" w:type="dxa"/>
            <w:gridSpan w:val="3"/>
            <w:hideMark/>
          </w:tcPr>
          <w:p w14:paraId="0340F26F" w14:textId="77777777" w:rsidR="00714DD5" w:rsidRDefault="00B87539" w:rsidP="007C3594">
            <w:pPr>
              <w:pStyle w:val="FrontCoverSubtitle"/>
            </w:pPr>
            <w:r>
              <w:t xml:space="preserve">Report and determination </w:t>
            </w:r>
          </w:p>
        </w:tc>
      </w:tr>
      <w:tr w:rsidR="00714DD5" w14:paraId="18DF0D9A" w14:textId="77777777" w:rsidTr="00714DD5">
        <w:tc>
          <w:tcPr>
            <w:tcW w:w="7380" w:type="dxa"/>
            <w:vAlign w:val="center"/>
            <w:hideMark/>
          </w:tcPr>
          <w:p w14:paraId="5F1381E5" w14:textId="68069D7A" w:rsidR="00714DD5" w:rsidRDefault="00B87539" w:rsidP="009761DF">
            <w:pPr>
              <w:pStyle w:val="Published"/>
            </w:pPr>
            <w:r>
              <w:t xml:space="preserve">Published: </w:t>
            </w:r>
            <w:r w:rsidR="00D73E3D">
              <w:t>20</w:t>
            </w:r>
            <w:r>
              <w:t xml:space="preserve"> December 2017</w:t>
            </w:r>
          </w:p>
        </w:tc>
        <w:tc>
          <w:tcPr>
            <w:tcW w:w="900" w:type="dxa"/>
            <w:tcMar>
              <w:top w:w="0" w:type="dxa"/>
              <w:left w:w="0" w:type="dxa"/>
              <w:bottom w:w="0" w:type="dxa"/>
              <w:right w:w="0" w:type="dxa"/>
            </w:tcMar>
            <w:vAlign w:val="center"/>
            <w:hideMark/>
          </w:tcPr>
          <w:p w14:paraId="0A6B1153" w14:textId="77777777" w:rsidR="00714DD5" w:rsidRDefault="00714DD5">
            <w:pPr>
              <w:pStyle w:val="Published"/>
              <w:jc w:val="right"/>
            </w:pPr>
          </w:p>
        </w:tc>
        <w:tc>
          <w:tcPr>
            <w:tcW w:w="904" w:type="dxa"/>
            <w:tcMar>
              <w:top w:w="0" w:type="dxa"/>
              <w:left w:w="0" w:type="dxa"/>
              <w:bottom w:w="0" w:type="dxa"/>
              <w:right w:w="0" w:type="dxa"/>
            </w:tcMar>
            <w:vAlign w:val="center"/>
            <w:hideMark/>
          </w:tcPr>
          <w:p w14:paraId="48845C8B" w14:textId="77777777" w:rsidR="00714DD5" w:rsidRDefault="009616E6">
            <w:pPr>
              <w:pStyle w:val="Published"/>
              <w:jc w:val="right"/>
            </w:pPr>
            <w:r>
              <w:rPr>
                <w:noProof/>
              </w:rPr>
              <w:drawing>
                <wp:inline distT="0" distB="0" distL="0" distR="0" wp14:anchorId="054C7A5D" wp14:editId="61FEE812">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40197CE6" w14:textId="77777777" w:rsidR="00710277" w:rsidRDefault="00710277" w:rsidP="004C5114">
      <w:pPr>
        <w:pStyle w:val="BodyText"/>
      </w:pPr>
    </w:p>
    <w:p w14:paraId="2CD966FC" w14:textId="77777777" w:rsidR="00710277" w:rsidRDefault="00710277" w:rsidP="004C5114">
      <w:pPr>
        <w:pStyle w:val="BodyText"/>
      </w:pPr>
    </w:p>
    <w:p w14:paraId="2B50ACD0" w14:textId="77777777" w:rsidR="00710277" w:rsidRDefault="00710277" w:rsidP="004C5114">
      <w:pPr>
        <w:pStyle w:val="BodyText"/>
        <w:sectPr w:rsidR="00710277" w:rsidSect="001232F0">
          <w:headerReference w:type="even" r:id="rId15"/>
          <w:headerReference w:type="default" r:id="rId16"/>
          <w:footerReference w:type="even" r:id="rId17"/>
          <w:footerReference w:type="default" r:id="rId18"/>
          <w:headerReference w:type="first" r:id="rId19"/>
          <w:footerReference w:type="first" r:id="rId20"/>
          <w:pgSz w:w="11906" w:h="16838"/>
          <w:pgMar w:top="1871" w:right="1361" w:bottom="1871" w:left="1361" w:header="567" w:footer="567" w:gutter="0"/>
          <w:cols w:space="708"/>
          <w:docGrid w:linePitch="360"/>
        </w:sectPr>
      </w:pPr>
    </w:p>
    <w:p w14:paraId="5102642E" w14:textId="546B2717" w:rsidR="0046439B" w:rsidRDefault="0046439B" w:rsidP="0046439B">
      <w:pPr>
        <w:pStyle w:val="TOCHeading"/>
      </w:pPr>
      <w:r>
        <w:lastRenderedPageBreak/>
        <w:t>Notice</w:t>
      </w:r>
      <w:r w:rsidR="00D47F04">
        <w:t xml:space="preserve"> of Determination – initial version of reserve level Declaration Guidelines </w:t>
      </w:r>
    </w:p>
    <w:p w14:paraId="2DC79192" w14:textId="2F55E6F4" w:rsidR="00D47F04" w:rsidRPr="00AE3AF5" w:rsidRDefault="00B87539" w:rsidP="00B87539">
      <w:pPr>
        <w:pStyle w:val="BodyText"/>
        <w:rPr>
          <w:b/>
          <w:color w:val="0F3A58" w:themeColor="accent3" w:themeShade="40"/>
        </w:rPr>
      </w:pPr>
      <w:r w:rsidRPr="00AE3AF5">
        <w:rPr>
          <w:b/>
          <w:color w:val="0F3A58" w:themeColor="accent3" w:themeShade="40"/>
        </w:rPr>
        <w:t>Nation</w:t>
      </w:r>
      <w:r w:rsidR="00A4781E" w:rsidRPr="00AE3AF5">
        <w:rPr>
          <w:b/>
          <w:color w:val="0F3A58" w:themeColor="accent3" w:themeShade="40"/>
        </w:rPr>
        <w:t xml:space="preserve">al Electricity Rules – </w:t>
      </w:r>
      <w:r w:rsidR="00D47F04" w:rsidRPr="00AE3AF5">
        <w:rPr>
          <w:b/>
          <w:color w:val="0F3A58" w:themeColor="accent3" w:themeShade="40"/>
        </w:rPr>
        <w:t xml:space="preserve">Rule 11.103.2 </w:t>
      </w:r>
    </w:p>
    <w:p w14:paraId="1390A6A6" w14:textId="77777777" w:rsidR="00D47F04" w:rsidRPr="00AE3AF5" w:rsidRDefault="00D47F04" w:rsidP="00B87539">
      <w:pPr>
        <w:pStyle w:val="BodyText"/>
        <w:rPr>
          <w:color w:val="0F3A58" w:themeColor="accent3" w:themeShade="40"/>
        </w:rPr>
      </w:pPr>
    </w:p>
    <w:p w14:paraId="63CA1086" w14:textId="60D438CB" w:rsidR="00B87539" w:rsidRPr="00AE3AF5" w:rsidRDefault="00A4781E" w:rsidP="00B87539">
      <w:pPr>
        <w:pStyle w:val="BodyText"/>
        <w:rPr>
          <w:color w:val="0F3A58" w:themeColor="accent3" w:themeShade="40"/>
        </w:rPr>
      </w:pPr>
      <w:r w:rsidRPr="00AE3AF5">
        <w:rPr>
          <w:color w:val="0F3A58" w:themeColor="accent3" w:themeShade="40"/>
        </w:rPr>
        <w:t xml:space="preserve">Date of Notice: </w:t>
      </w:r>
      <w:r w:rsidR="002E1330">
        <w:rPr>
          <w:color w:val="0F3A58" w:themeColor="accent3" w:themeShade="40"/>
        </w:rPr>
        <w:t>20</w:t>
      </w:r>
      <w:r w:rsidRPr="00AE3AF5">
        <w:rPr>
          <w:color w:val="0F3A58" w:themeColor="accent3" w:themeShade="40"/>
        </w:rPr>
        <w:t xml:space="preserve"> December 2017</w:t>
      </w:r>
    </w:p>
    <w:p w14:paraId="55F50B88" w14:textId="7F5CE9D8" w:rsidR="00A4781E" w:rsidRDefault="00B87539" w:rsidP="00B87539">
      <w:pPr>
        <w:pStyle w:val="BodyText"/>
      </w:pPr>
      <w:r>
        <w:t>This notic</w:t>
      </w:r>
      <w:r w:rsidR="00A4781E">
        <w:t>e informs</w:t>
      </w:r>
      <w:r>
        <w:t xml:space="preserve"> all Registered Participants and intere</w:t>
      </w:r>
      <w:r w:rsidR="00A4781E">
        <w:t>sted parties</w:t>
      </w:r>
      <w:r>
        <w:t xml:space="preserve"> that AEMO has completed its consultation to </w:t>
      </w:r>
      <w:r w:rsidR="009F09CF">
        <w:t xml:space="preserve">develop the Reserve Level Declaration </w:t>
      </w:r>
      <w:r>
        <w:t xml:space="preserve">Guidelines. This </w:t>
      </w:r>
      <w:r w:rsidR="00AE3AF5">
        <w:t xml:space="preserve">first version of the Guidelines has been developed in accordance with </w:t>
      </w:r>
      <w:r w:rsidR="00A4781E">
        <w:t>clause 11.103.2 of</w:t>
      </w:r>
      <w:r>
        <w:t xml:space="preserve"> the National Electricity Rules (NER)</w:t>
      </w:r>
      <w:r w:rsidR="00AE3AF5">
        <w:t>.</w:t>
      </w:r>
      <w:r>
        <w:t xml:space="preserve"> </w:t>
      </w:r>
    </w:p>
    <w:p w14:paraId="34C84AE1" w14:textId="77777777" w:rsidR="00A4781E" w:rsidRPr="00AE3AF5" w:rsidRDefault="00B87539" w:rsidP="00B87539">
      <w:pPr>
        <w:pStyle w:val="BodyText"/>
        <w:rPr>
          <w:color w:val="0F3A58" w:themeColor="accent3" w:themeShade="40"/>
        </w:rPr>
      </w:pPr>
      <w:r w:rsidRPr="00AE3AF5">
        <w:rPr>
          <w:color w:val="0F3A58" w:themeColor="accent3" w:themeShade="40"/>
        </w:rPr>
        <w:t xml:space="preserve">Determination and Publication </w:t>
      </w:r>
    </w:p>
    <w:p w14:paraId="02ED77DA" w14:textId="5316204E" w:rsidR="00B87539" w:rsidRPr="00B87539" w:rsidRDefault="00B87539" w:rsidP="00B87539">
      <w:pPr>
        <w:pStyle w:val="BodyText"/>
      </w:pPr>
      <w:r>
        <w:t xml:space="preserve">AEMO’s final determination is to make the </w:t>
      </w:r>
      <w:r w:rsidR="00AE3AF5">
        <w:t>initial version of the Reserve L</w:t>
      </w:r>
      <w:r w:rsidR="00A4781E">
        <w:t>evel Declaration</w:t>
      </w:r>
      <w:r>
        <w:t xml:space="preserve"> Guidelines in the form published on the AEMO website at:</w:t>
      </w:r>
      <w:r w:rsidR="00D73E3D">
        <w:t xml:space="preserve"> </w:t>
      </w:r>
      <w:r w:rsidR="00D73E3D" w:rsidRPr="00D73E3D">
        <w:t>https://www.aemo.com.au/Stakeholder-Consultation/Consultations/Consultation-on-initial-version-of-Reserve-Level-Declaration-Guidelines</w:t>
      </w:r>
    </w:p>
    <w:p w14:paraId="6B1B9F10" w14:textId="77777777" w:rsidR="0046439B" w:rsidRDefault="0046439B" w:rsidP="0046439B">
      <w:pPr>
        <w:pStyle w:val="BodyText"/>
      </w:pPr>
    </w:p>
    <w:p w14:paraId="6224F103" w14:textId="77777777" w:rsidR="0046439B" w:rsidRDefault="0046439B" w:rsidP="0046439B">
      <w:pPr>
        <w:pStyle w:val="BodyText"/>
      </w:pPr>
    </w:p>
    <w:p w14:paraId="3E3ED8F5" w14:textId="77777777" w:rsidR="0046439B" w:rsidRDefault="0046439B" w:rsidP="0046439B">
      <w:pPr>
        <w:pStyle w:val="BodyText"/>
      </w:pPr>
    </w:p>
    <w:p w14:paraId="0C15F2D1" w14:textId="77777777" w:rsidR="0046439B" w:rsidRDefault="0046439B" w:rsidP="0046439B">
      <w:pPr>
        <w:pStyle w:val="BodyText"/>
      </w:pPr>
    </w:p>
    <w:p w14:paraId="4110FE2A" w14:textId="77777777" w:rsidR="0046439B" w:rsidRDefault="0046439B" w:rsidP="0046439B">
      <w:pPr>
        <w:pStyle w:val="BodyText"/>
      </w:pPr>
    </w:p>
    <w:p w14:paraId="43F35A9D" w14:textId="77777777" w:rsidR="0046439B" w:rsidRDefault="0046439B" w:rsidP="0046439B">
      <w:pPr>
        <w:pStyle w:val="BodyText"/>
      </w:pPr>
    </w:p>
    <w:p w14:paraId="69E80C34" w14:textId="77777777" w:rsidR="0046439B" w:rsidRDefault="0046439B" w:rsidP="0046439B">
      <w:pPr>
        <w:pStyle w:val="BodyText"/>
      </w:pPr>
    </w:p>
    <w:p w14:paraId="06291890" w14:textId="77777777" w:rsidR="0046439B" w:rsidRDefault="0046439B" w:rsidP="0046439B">
      <w:pPr>
        <w:pStyle w:val="BodyText"/>
      </w:pPr>
    </w:p>
    <w:p w14:paraId="719FEE7A" w14:textId="77777777" w:rsidR="00924ED7" w:rsidRDefault="00924ED7" w:rsidP="00924ED7">
      <w:pPr>
        <w:pStyle w:val="BodyText"/>
      </w:pPr>
      <w:r>
        <w:t xml:space="preserve">© </w:t>
      </w:r>
      <w:r>
        <w:fldChar w:fldCharType="begin"/>
      </w:r>
      <w:r>
        <w:instrText xml:space="preserve"> PRINTDATE  \@ "yyyy" \* MERGEFORMAT </w:instrText>
      </w:r>
      <w:r>
        <w:fldChar w:fldCharType="separate"/>
      </w:r>
      <w:r w:rsidR="007E4948">
        <w:rPr>
          <w:noProof/>
        </w:rPr>
        <w:t>2017</w:t>
      </w:r>
      <w:r>
        <w:fldChar w:fldCharType="end"/>
      </w:r>
      <w:r>
        <w:t xml:space="preserve"> Australian Energy Market Operator Limited. The material in this publication may be used in accordance with the </w:t>
      </w:r>
      <w:hyperlink r:id="rId21" w:history="1">
        <w:r>
          <w:rPr>
            <w:rStyle w:val="Hyperlink"/>
          </w:rPr>
          <w:t>copyright permissions on AEMO’s website</w:t>
        </w:r>
      </w:hyperlink>
      <w:r>
        <w:t>.</w:t>
      </w:r>
    </w:p>
    <w:p w14:paraId="1F8CB7EE" w14:textId="77777777" w:rsidR="00710277" w:rsidRDefault="00710277" w:rsidP="004C5114">
      <w:pPr>
        <w:pStyle w:val="BodyText"/>
      </w:pPr>
    </w:p>
    <w:p w14:paraId="05427C6B" w14:textId="524B3F95" w:rsidR="000F03C7" w:rsidRPr="004F76AA" w:rsidRDefault="000F03C7" w:rsidP="00842677">
      <w:pPr>
        <w:pStyle w:val="ForewordHeading1"/>
      </w:pPr>
      <w:bookmarkStart w:id="0" w:name="_Toc501453647"/>
      <w:r>
        <w:t>Executive Summary</w:t>
      </w:r>
      <w:bookmarkEnd w:id="0"/>
    </w:p>
    <w:p w14:paraId="73AD6A71" w14:textId="3C882472" w:rsidR="000F03C7" w:rsidRDefault="000F03C7" w:rsidP="00842677">
      <w:pPr>
        <w:pStyle w:val="BodyText"/>
        <w:rPr>
          <w:color w:val="FF0000"/>
        </w:rPr>
      </w:pPr>
    </w:p>
    <w:p w14:paraId="14CF59C7" w14:textId="3939EB63" w:rsidR="00AD3EF2" w:rsidRDefault="00AD3EF2" w:rsidP="00AD3EF2">
      <w:pPr>
        <w:pStyle w:val="BodyText"/>
      </w:pPr>
      <w:r>
        <w:t>AEMO has consulted on the development of the initial Reserve L</w:t>
      </w:r>
      <w:r w:rsidRPr="00E43D1F">
        <w:t xml:space="preserve">evel </w:t>
      </w:r>
      <w:r>
        <w:t>D</w:t>
      </w:r>
      <w:r w:rsidRPr="00E43D1F">
        <w:t xml:space="preserve">eclaration </w:t>
      </w:r>
      <w:r>
        <w:t>G</w:t>
      </w:r>
      <w:r w:rsidRPr="00E43D1F">
        <w:t>uidelines</w:t>
      </w:r>
      <w:r>
        <w:t xml:space="preserve"> (Guidelines), which AEMO is required to publish by </w:t>
      </w:r>
      <w:r w:rsidR="00C63782">
        <w:t>9</w:t>
      </w:r>
      <w:r>
        <w:t xml:space="preserve"> January 2018 under clause 11.103.2 of the NER. </w:t>
      </w:r>
    </w:p>
    <w:p w14:paraId="71B3D599" w14:textId="33C21935" w:rsidR="00AD3EF2" w:rsidRDefault="00AD3EF2" w:rsidP="00AD3EF2">
      <w:pPr>
        <w:pStyle w:val="BodyText"/>
      </w:pPr>
      <w:r>
        <w:t xml:space="preserve">No consultation requirements are specified in the NER for the first version of the Guidelines. However, AEMO released a draft of the initial Guidelines for consultation and invited submissions from interested stakeholders. Those submissions have been considered and AEMO’s responses are set out in </w:t>
      </w:r>
      <w:r w:rsidR="008B16BB">
        <w:br/>
      </w:r>
      <w:r>
        <w:t xml:space="preserve">this report. </w:t>
      </w:r>
    </w:p>
    <w:p w14:paraId="632418E0" w14:textId="681C1949" w:rsidR="00AD3EF2" w:rsidRDefault="00AD3EF2" w:rsidP="00AD3EF2">
      <w:pPr>
        <w:pStyle w:val="BodyText"/>
      </w:pPr>
      <w:r>
        <w:t>Two submissions were received. In response to these submissions AEMO has</w:t>
      </w:r>
      <w:r w:rsidR="008B16BB">
        <w:t>:</w:t>
      </w:r>
      <w:r>
        <w:t xml:space="preserve"> </w:t>
      </w:r>
    </w:p>
    <w:p w14:paraId="7ADB3D36" w14:textId="090B96F0" w:rsidR="00AD3EF2" w:rsidRDefault="008B16BB" w:rsidP="0046618F">
      <w:pPr>
        <w:pStyle w:val="ListBullet"/>
      </w:pPr>
      <w:r>
        <w:t xml:space="preserve">Altered </w:t>
      </w:r>
      <w:r w:rsidR="00AD3EF2">
        <w:t xml:space="preserve">the proposed </w:t>
      </w:r>
      <w:r w:rsidR="00EA2E77">
        <w:t>formula used to calculate</w:t>
      </w:r>
      <w:r w:rsidR="00AD3EF2">
        <w:t xml:space="preserve"> the LOR1 level</w:t>
      </w:r>
      <w:r w:rsidR="00223887">
        <w:t xml:space="preserve"> in the Guidelines</w:t>
      </w:r>
      <w:r>
        <w:t xml:space="preserve">. </w:t>
      </w:r>
    </w:p>
    <w:p w14:paraId="521BFD4A" w14:textId="474E4EC6" w:rsidR="00AD3EF2" w:rsidRDefault="008B16BB" w:rsidP="0046618F">
      <w:pPr>
        <w:pStyle w:val="ListBullet"/>
      </w:pPr>
      <w:r>
        <w:t xml:space="preserve">Provided </w:t>
      </w:r>
      <w:r w:rsidR="00AD3EF2">
        <w:t>additional information in the Guidelines on the operation of the Bayesian Belief Network</w:t>
      </w:r>
      <w:r w:rsidR="009105B8">
        <w:t xml:space="preserve"> and assumptions used in the inputs to this process</w:t>
      </w:r>
      <w:r>
        <w:t>.</w:t>
      </w:r>
    </w:p>
    <w:p w14:paraId="3DDEDC4F" w14:textId="481E1E38" w:rsidR="00AD3EF2" w:rsidRDefault="008B16BB" w:rsidP="0046618F">
      <w:pPr>
        <w:pStyle w:val="ListBullet"/>
      </w:pPr>
      <w:r>
        <w:t>P</w:t>
      </w:r>
      <w:r w:rsidR="00AD3EF2">
        <w:t xml:space="preserve">rovided additional information in this report on error distributions for AEMO’s demand </w:t>
      </w:r>
      <w:r>
        <w:br/>
      </w:r>
      <w:r w:rsidR="00AD3EF2">
        <w:t xml:space="preserve">and intermittent generation forecasting and forecasts of aggregate scheduled generating </w:t>
      </w:r>
      <w:r>
        <w:br/>
      </w:r>
      <w:r w:rsidR="00AD3EF2">
        <w:t>unit availability</w:t>
      </w:r>
      <w:r>
        <w:t>.</w:t>
      </w:r>
    </w:p>
    <w:p w14:paraId="1D8790D1" w14:textId="58ADDB05" w:rsidR="009105B8" w:rsidRDefault="008B16BB" w:rsidP="0046618F">
      <w:pPr>
        <w:pStyle w:val="ListBullet"/>
      </w:pPr>
      <w:r>
        <w:t>A</w:t>
      </w:r>
      <w:r w:rsidR="009105B8">
        <w:t xml:space="preserve">greed to consider ongoing publication of the </w:t>
      </w:r>
      <w:r w:rsidR="00683982">
        <w:t>forecast uncertainty measure (</w:t>
      </w:r>
      <w:r w:rsidR="009105B8">
        <w:t>FUM</w:t>
      </w:r>
      <w:r w:rsidR="00683982">
        <w:t>)</w:t>
      </w:r>
      <w:r w:rsidR="009105B8">
        <w:t xml:space="preserve"> values</w:t>
      </w:r>
      <w:r>
        <w:t>.</w:t>
      </w:r>
    </w:p>
    <w:p w14:paraId="55F3CDEE" w14:textId="20B82669" w:rsidR="00223887" w:rsidRDefault="008B16BB" w:rsidP="0046618F">
      <w:pPr>
        <w:pStyle w:val="ListBullet"/>
      </w:pPr>
      <w:r>
        <w:t>S</w:t>
      </w:r>
      <w:r w:rsidR="00223887">
        <w:t xml:space="preserve">et out in the Guidelines </w:t>
      </w:r>
      <w:r w:rsidR="00223887" w:rsidRPr="00EA127F">
        <w:t xml:space="preserve">principles for the selection of appropriate confidence levels to be used in the determination of FUM. </w:t>
      </w:r>
    </w:p>
    <w:p w14:paraId="29DC56BA" w14:textId="512FDAC9" w:rsidR="00AD3EF2" w:rsidRDefault="008B16BB" w:rsidP="0046618F">
      <w:pPr>
        <w:pStyle w:val="ListBullet"/>
      </w:pPr>
      <w:r>
        <w:t>E</w:t>
      </w:r>
      <w:r w:rsidR="009105B8">
        <w:t>stablished a process</w:t>
      </w:r>
      <w:r w:rsidR="00223887">
        <w:t xml:space="preserve"> in the Guidelines</w:t>
      </w:r>
      <w:r w:rsidR="009105B8">
        <w:t xml:space="preserve"> to provide information to Participants on changes to credible contingency events considered relevant to the setting of the </w:t>
      </w:r>
      <w:r w:rsidR="00683982">
        <w:t>l</w:t>
      </w:r>
      <w:r>
        <w:t xml:space="preserve">ack of </w:t>
      </w:r>
      <w:r w:rsidR="00683982">
        <w:t>r</w:t>
      </w:r>
      <w:r>
        <w:t>eserve (</w:t>
      </w:r>
      <w:r w:rsidR="009105B8">
        <w:t>LOR</w:t>
      </w:r>
      <w:r>
        <w:t>)</w:t>
      </w:r>
      <w:r w:rsidR="009105B8">
        <w:t xml:space="preserve"> levels</w:t>
      </w:r>
      <w:r>
        <w:t>.</w:t>
      </w:r>
    </w:p>
    <w:p w14:paraId="67DCC7C0" w14:textId="11B0FC05" w:rsidR="009105B8" w:rsidRDefault="008B16BB" w:rsidP="0046618F">
      <w:pPr>
        <w:pStyle w:val="ListBullet"/>
      </w:pPr>
      <w:r>
        <w:t>S</w:t>
      </w:r>
      <w:r w:rsidR="00223887">
        <w:t>et out in the Guidelines the conditions under which AEMO would exercise discretion</w:t>
      </w:r>
      <w:r w:rsidR="009105B8">
        <w:t xml:space="preserve"> regarding the declaration of LOR conditions</w:t>
      </w:r>
      <w:r>
        <w:t>.</w:t>
      </w:r>
    </w:p>
    <w:p w14:paraId="630D71F4" w14:textId="03AF2826" w:rsidR="009105B8" w:rsidRDefault="008B16BB" w:rsidP="0046618F">
      <w:pPr>
        <w:pStyle w:val="ListBullet"/>
      </w:pPr>
      <w:r>
        <w:t>U</w:t>
      </w:r>
      <w:r w:rsidR="009105B8">
        <w:t xml:space="preserve">ndertaken to conduct a review of the performance </w:t>
      </w:r>
      <w:r w:rsidR="00603A8C">
        <w:t>of this process after summer</w:t>
      </w:r>
      <w:r w:rsidR="00683982">
        <w:t xml:space="preserve"> 2017-18</w:t>
      </w:r>
      <w:r w:rsidR="009105B8">
        <w:t xml:space="preserve">. </w:t>
      </w:r>
    </w:p>
    <w:p w14:paraId="0448424C" w14:textId="5CE70FBB" w:rsidR="00AD3EF2" w:rsidRDefault="004B4837" w:rsidP="003409AE">
      <w:pPr>
        <w:pStyle w:val="BodyText"/>
        <w:tabs>
          <w:tab w:val="left" w:pos="4056"/>
        </w:tabs>
      </w:pPr>
      <w:r>
        <w:t>This report also sets out</w:t>
      </w:r>
      <w:r w:rsidR="008B16BB">
        <w:t>:</w:t>
      </w:r>
      <w:r>
        <w:t xml:space="preserve"> </w:t>
      </w:r>
      <w:r w:rsidR="003409AE">
        <w:tab/>
      </w:r>
    </w:p>
    <w:p w14:paraId="37B437EB" w14:textId="356BA431" w:rsidR="004B4837" w:rsidRDefault="008B16BB" w:rsidP="0046618F">
      <w:pPr>
        <w:pStyle w:val="ListBullet"/>
      </w:pPr>
      <w:r>
        <w:t xml:space="preserve">The </w:t>
      </w:r>
      <w:r w:rsidR="00810CF2">
        <w:t>process used to select</w:t>
      </w:r>
      <w:r w:rsidR="004B4837">
        <w:t xml:space="preserve"> the initial appropriate confidence levels </w:t>
      </w:r>
      <w:r w:rsidR="00223887">
        <w:t xml:space="preserve">used in the determination of </w:t>
      </w:r>
      <w:r>
        <w:br/>
      </w:r>
      <w:r w:rsidR="00223887">
        <w:t>the FUM</w:t>
      </w:r>
      <w:r>
        <w:t>.</w:t>
      </w:r>
    </w:p>
    <w:p w14:paraId="5EB05DC3" w14:textId="3284C25A" w:rsidR="00223887" w:rsidRDefault="008B16BB" w:rsidP="0046618F">
      <w:pPr>
        <w:pStyle w:val="ListBullet"/>
      </w:pPr>
      <w:r>
        <w:t xml:space="preserve">The </w:t>
      </w:r>
      <w:r w:rsidR="00223887">
        <w:t>initial reasonability limits for FUM values</w:t>
      </w:r>
      <w:r>
        <w:t>.</w:t>
      </w:r>
    </w:p>
    <w:p w14:paraId="03E6E209" w14:textId="2A20C200" w:rsidR="00223887" w:rsidRDefault="008B16BB" w:rsidP="0046618F">
      <w:pPr>
        <w:pStyle w:val="ListBullet"/>
      </w:pPr>
      <w:r>
        <w:t xml:space="preserve">Indicative </w:t>
      </w:r>
      <w:r w:rsidR="00223887">
        <w:t>values o</w:t>
      </w:r>
      <w:r w:rsidR="009B308D">
        <w:t>f FUM for a range of scenarios.</w:t>
      </w:r>
    </w:p>
    <w:p w14:paraId="74747ACC" w14:textId="77777777" w:rsidR="00AD3EF2" w:rsidRPr="00842677" w:rsidRDefault="00AD3EF2" w:rsidP="00842677">
      <w:pPr>
        <w:pStyle w:val="BodyText"/>
        <w:rPr>
          <w:color w:val="FF0000"/>
        </w:rPr>
      </w:pPr>
    </w:p>
    <w:p w14:paraId="5ED9590D" w14:textId="77777777" w:rsidR="004C5114" w:rsidRDefault="004C5114" w:rsidP="004C5114">
      <w:pPr>
        <w:pStyle w:val="BodyText"/>
      </w:pPr>
    </w:p>
    <w:p w14:paraId="533A260E" w14:textId="77777777" w:rsidR="004C5114" w:rsidRPr="00E05757" w:rsidRDefault="004C5114" w:rsidP="004C5114">
      <w:pPr>
        <w:pStyle w:val="BodyText"/>
      </w:pPr>
    </w:p>
    <w:p w14:paraId="78D2DB39" w14:textId="77777777" w:rsidR="00710277" w:rsidRDefault="00710277" w:rsidP="004C5114">
      <w:pPr>
        <w:pStyle w:val="BodyText"/>
      </w:pPr>
    </w:p>
    <w:p w14:paraId="4C310860" w14:textId="77777777" w:rsidR="00710277" w:rsidRDefault="00710277" w:rsidP="004C5114">
      <w:pPr>
        <w:pStyle w:val="BodyText"/>
        <w:sectPr w:rsidR="00710277" w:rsidSect="001232F0">
          <w:headerReference w:type="even" r:id="rId22"/>
          <w:headerReference w:type="default" r:id="rId23"/>
          <w:footerReference w:type="even" r:id="rId24"/>
          <w:footerReference w:type="default" r:id="rId25"/>
          <w:pgSz w:w="11906" w:h="16838"/>
          <w:pgMar w:top="1871" w:right="1361" w:bottom="1871" w:left="1361" w:header="1021" w:footer="567" w:gutter="0"/>
          <w:pgNumType w:start="1"/>
          <w:cols w:space="708"/>
          <w:docGrid w:linePitch="360"/>
        </w:sectPr>
      </w:pPr>
    </w:p>
    <w:p w14:paraId="101B2FA8" w14:textId="77777777" w:rsidR="000F03C7" w:rsidRPr="00375C24" w:rsidRDefault="000F03C7" w:rsidP="000F03C7">
      <w:pPr>
        <w:pStyle w:val="TOCHeading"/>
      </w:pPr>
      <w:r w:rsidRPr="00375C24">
        <w:t>Contents</w:t>
      </w:r>
    </w:p>
    <w:p w14:paraId="0740C5C6" w14:textId="77777777" w:rsidR="007E4948" w:rsidRDefault="00747E0D">
      <w:pPr>
        <w:pStyle w:val="TOC3"/>
        <w:rPr>
          <w:rFonts w:asciiTheme="minorHAnsi" w:eastAsiaTheme="minorEastAsia" w:hAnsiTheme="minorHAnsi" w:cstheme="minorBidi"/>
          <w:b w:val="0"/>
          <w:caps w:val="0"/>
          <w:color w:val="auto"/>
          <w:sz w:val="22"/>
          <w:lang w:eastAsia="en-AU"/>
        </w:rPr>
      </w:pPr>
      <w:r w:rsidRPr="00520420">
        <w:fldChar w:fldCharType="begin"/>
      </w:r>
      <w:r w:rsidRPr="00520420">
        <w:instrText xml:space="preserve"> TOC \h \z \t "Heading 1,1,Heading 2,2,Appendix Heading 1,5,Appendix Heading 2,2,Foreword Heading 1,3,Foreword Heading 2,4" </w:instrText>
      </w:r>
      <w:r w:rsidRPr="00520420">
        <w:fldChar w:fldCharType="separate"/>
      </w:r>
      <w:hyperlink w:anchor="_Toc501453647" w:history="1">
        <w:r w:rsidR="007E4948" w:rsidRPr="00FC63BE">
          <w:rPr>
            <w:rStyle w:val="Hyperlink"/>
          </w:rPr>
          <w:t>Executive Summary</w:t>
        </w:r>
        <w:r w:rsidR="007E4948">
          <w:rPr>
            <w:webHidden/>
          </w:rPr>
          <w:tab/>
        </w:r>
        <w:r w:rsidR="007E4948">
          <w:rPr>
            <w:webHidden/>
          </w:rPr>
          <w:fldChar w:fldCharType="begin"/>
        </w:r>
        <w:r w:rsidR="007E4948">
          <w:rPr>
            <w:webHidden/>
          </w:rPr>
          <w:instrText xml:space="preserve"> PAGEREF _Toc501453647 \h </w:instrText>
        </w:r>
        <w:r w:rsidR="007E4948">
          <w:rPr>
            <w:webHidden/>
          </w:rPr>
        </w:r>
        <w:r w:rsidR="007E4948">
          <w:rPr>
            <w:webHidden/>
          </w:rPr>
          <w:fldChar w:fldCharType="separate"/>
        </w:r>
        <w:r w:rsidR="007E4948">
          <w:rPr>
            <w:webHidden/>
          </w:rPr>
          <w:t>2</w:t>
        </w:r>
        <w:r w:rsidR="007E4948">
          <w:rPr>
            <w:webHidden/>
          </w:rPr>
          <w:fldChar w:fldCharType="end"/>
        </w:r>
      </w:hyperlink>
    </w:p>
    <w:p w14:paraId="5AEFF067"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48" w:history="1">
        <w:r w:rsidR="007E4948" w:rsidRPr="00FC63BE">
          <w:rPr>
            <w:rStyle w:val="Hyperlink"/>
          </w:rPr>
          <w:t>1.</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Stakeholder Consultation Process</w:t>
        </w:r>
        <w:r w:rsidR="007E4948">
          <w:rPr>
            <w:webHidden/>
          </w:rPr>
          <w:tab/>
        </w:r>
        <w:r w:rsidR="007E4948">
          <w:rPr>
            <w:webHidden/>
          </w:rPr>
          <w:fldChar w:fldCharType="begin"/>
        </w:r>
        <w:r w:rsidR="007E4948">
          <w:rPr>
            <w:webHidden/>
          </w:rPr>
          <w:instrText xml:space="preserve"> PAGEREF _Toc501453648 \h </w:instrText>
        </w:r>
        <w:r w:rsidR="007E4948">
          <w:rPr>
            <w:webHidden/>
          </w:rPr>
        </w:r>
        <w:r w:rsidR="007E4948">
          <w:rPr>
            <w:webHidden/>
          </w:rPr>
          <w:fldChar w:fldCharType="separate"/>
        </w:r>
        <w:r w:rsidR="007E4948">
          <w:rPr>
            <w:webHidden/>
          </w:rPr>
          <w:t>5</w:t>
        </w:r>
        <w:r w:rsidR="007E4948">
          <w:rPr>
            <w:webHidden/>
          </w:rPr>
          <w:fldChar w:fldCharType="end"/>
        </w:r>
      </w:hyperlink>
    </w:p>
    <w:p w14:paraId="41E69774"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49" w:history="1">
        <w:r w:rsidR="007E4948" w:rsidRPr="00FC63BE">
          <w:rPr>
            <w:rStyle w:val="Hyperlink"/>
          </w:rPr>
          <w:t>2.</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Background</w:t>
        </w:r>
        <w:r w:rsidR="007E4948">
          <w:rPr>
            <w:webHidden/>
          </w:rPr>
          <w:tab/>
        </w:r>
        <w:r w:rsidR="007E4948">
          <w:rPr>
            <w:webHidden/>
          </w:rPr>
          <w:fldChar w:fldCharType="begin"/>
        </w:r>
        <w:r w:rsidR="007E4948">
          <w:rPr>
            <w:webHidden/>
          </w:rPr>
          <w:instrText xml:space="preserve"> PAGEREF _Toc501453649 \h </w:instrText>
        </w:r>
        <w:r w:rsidR="007E4948">
          <w:rPr>
            <w:webHidden/>
          </w:rPr>
        </w:r>
        <w:r w:rsidR="007E4948">
          <w:rPr>
            <w:webHidden/>
          </w:rPr>
          <w:fldChar w:fldCharType="separate"/>
        </w:r>
        <w:r w:rsidR="007E4948">
          <w:rPr>
            <w:webHidden/>
          </w:rPr>
          <w:t>6</w:t>
        </w:r>
        <w:r w:rsidR="007E4948">
          <w:rPr>
            <w:webHidden/>
          </w:rPr>
          <w:fldChar w:fldCharType="end"/>
        </w:r>
      </w:hyperlink>
    </w:p>
    <w:p w14:paraId="464D1688" w14:textId="77777777" w:rsidR="007E4948" w:rsidRDefault="00892E93">
      <w:pPr>
        <w:pStyle w:val="TOC2"/>
        <w:rPr>
          <w:color w:val="auto"/>
          <w:sz w:val="22"/>
        </w:rPr>
      </w:pPr>
      <w:hyperlink w:anchor="_Toc501453650" w:history="1">
        <w:r w:rsidR="007E4948" w:rsidRPr="00FC63BE">
          <w:rPr>
            <w:rStyle w:val="Hyperlink"/>
          </w:rPr>
          <w:t>2.1</w:t>
        </w:r>
        <w:r w:rsidR="007E4948">
          <w:rPr>
            <w:color w:val="auto"/>
            <w:sz w:val="22"/>
          </w:rPr>
          <w:tab/>
        </w:r>
        <w:r w:rsidR="007E4948" w:rsidRPr="00FC63BE">
          <w:rPr>
            <w:rStyle w:val="Hyperlink"/>
          </w:rPr>
          <w:t>NER requirements</w:t>
        </w:r>
        <w:r w:rsidR="007E4948">
          <w:rPr>
            <w:webHidden/>
          </w:rPr>
          <w:tab/>
        </w:r>
        <w:r w:rsidR="007E4948">
          <w:rPr>
            <w:webHidden/>
          </w:rPr>
          <w:fldChar w:fldCharType="begin"/>
        </w:r>
        <w:r w:rsidR="007E4948">
          <w:rPr>
            <w:webHidden/>
          </w:rPr>
          <w:instrText xml:space="preserve"> PAGEREF _Toc501453650 \h </w:instrText>
        </w:r>
        <w:r w:rsidR="007E4948">
          <w:rPr>
            <w:webHidden/>
          </w:rPr>
        </w:r>
        <w:r w:rsidR="007E4948">
          <w:rPr>
            <w:webHidden/>
          </w:rPr>
          <w:fldChar w:fldCharType="separate"/>
        </w:r>
        <w:r w:rsidR="007E4948">
          <w:rPr>
            <w:webHidden/>
          </w:rPr>
          <w:t>6</w:t>
        </w:r>
        <w:r w:rsidR="007E4948">
          <w:rPr>
            <w:webHidden/>
          </w:rPr>
          <w:fldChar w:fldCharType="end"/>
        </w:r>
      </w:hyperlink>
    </w:p>
    <w:p w14:paraId="16662DA2" w14:textId="77777777" w:rsidR="007E4948" w:rsidRDefault="00892E93">
      <w:pPr>
        <w:pStyle w:val="TOC2"/>
        <w:rPr>
          <w:color w:val="auto"/>
          <w:sz w:val="22"/>
        </w:rPr>
      </w:pPr>
      <w:hyperlink w:anchor="_Toc501453651" w:history="1">
        <w:r w:rsidR="007E4948" w:rsidRPr="00FC63BE">
          <w:rPr>
            <w:rStyle w:val="Hyperlink"/>
          </w:rPr>
          <w:t>2.2</w:t>
        </w:r>
        <w:r w:rsidR="007E4948">
          <w:rPr>
            <w:color w:val="auto"/>
            <w:sz w:val="22"/>
          </w:rPr>
          <w:tab/>
        </w:r>
        <w:r w:rsidR="007E4948" w:rsidRPr="00FC63BE">
          <w:rPr>
            <w:rStyle w:val="Hyperlink"/>
          </w:rPr>
          <w:t>Context for this consultation</w:t>
        </w:r>
        <w:r w:rsidR="007E4948">
          <w:rPr>
            <w:webHidden/>
          </w:rPr>
          <w:tab/>
        </w:r>
        <w:r w:rsidR="007E4948">
          <w:rPr>
            <w:webHidden/>
          </w:rPr>
          <w:fldChar w:fldCharType="begin"/>
        </w:r>
        <w:r w:rsidR="007E4948">
          <w:rPr>
            <w:webHidden/>
          </w:rPr>
          <w:instrText xml:space="preserve"> PAGEREF _Toc501453651 \h </w:instrText>
        </w:r>
        <w:r w:rsidR="007E4948">
          <w:rPr>
            <w:webHidden/>
          </w:rPr>
        </w:r>
        <w:r w:rsidR="007E4948">
          <w:rPr>
            <w:webHidden/>
          </w:rPr>
          <w:fldChar w:fldCharType="separate"/>
        </w:r>
        <w:r w:rsidR="007E4948">
          <w:rPr>
            <w:webHidden/>
          </w:rPr>
          <w:t>6</w:t>
        </w:r>
        <w:r w:rsidR="007E4948">
          <w:rPr>
            <w:webHidden/>
          </w:rPr>
          <w:fldChar w:fldCharType="end"/>
        </w:r>
      </w:hyperlink>
    </w:p>
    <w:p w14:paraId="68F16B9A" w14:textId="77777777" w:rsidR="007E4948" w:rsidRDefault="00892E93">
      <w:pPr>
        <w:pStyle w:val="TOC2"/>
        <w:rPr>
          <w:color w:val="auto"/>
          <w:sz w:val="22"/>
        </w:rPr>
      </w:pPr>
      <w:hyperlink w:anchor="_Toc501453652" w:history="1">
        <w:r w:rsidR="007E4948" w:rsidRPr="00FC63BE">
          <w:rPr>
            <w:rStyle w:val="Hyperlink"/>
          </w:rPr>
          <w:t>2.3</w:t>
        </w:r>
        <w:r w:rsidR="007E4948">
          <w:rPr>
            <w:color w:val="auto"/>
            <w:sz w:val="22"/>
          </w:rPr>
          <w:tab/>
        </w:r>
        <w:r w:rsidR="007E4948" w:rsidRPr="00FC63BE">
          <w:rPr>
            <w:rStyle w:val="Hyperlink"/>
          </w:rPr>
          <w:t>Consultation process</w:t>
        </w:r>
        <w:r w:rsidR="007E4948">
          <w:rPr>
            <w:webHidden/>
          </w:rPr>
          <w:tab/>
        </w:r>
        <w:r w:rsidR="007E4948">
          <w:rPr>
            <w:webHidden/>
          </w:rPr>
          <w:fldChar w:fldCharType="begin"/>
        </w:r>
        <w:r w:rsidR="007E4948">
          <w:rPr>
            <w:webHidden/>
          </w:rPr>
          <w:instrText xml:space="preserve"> PAGEREF _Toc501453652 \h </w:instrText>
        </w:r>
        <w:r w:rsidR="007E4948">
          <w:rPr>
            <w:webHidden/>
          </w:rPr>
        </w:r>
        <w:r w:rsidR="007E4948">
          <w:rPr>
            <w:webHidden/>
          </w:rPr>
          <w:fldChar w:fldCharType="separate"/>
        </w:r>
        <w:r w:rsidR="007E4948">
          <w:rPr>
            <w:webHidden/>
          </w:rPr>
          <w:t>6</w:t>
        </w:r>
        <w:r w:rsidR="007E4948">
          <w:rPr>
            <w:webHidden/>
          </w:rPr>
          <w:fldChar w:fldCharType="end"/>
        </w:r>
      </w:hyperlink>
    </w:p>
    <w:p w14:paraId="10B9E54A"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53" w:history="1">
        <w:r w:rsidR="007E4948" w:rsidRPr="00FC63BE">
          <w:rPr>
            <w:rStyle w:val="Hyperlink"/>
          </w:rPr>
          <w:t>3.</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Summary of material Issues</w:t>
        </w:r>
        <w:r w:rsidR="007E4948">
          <w:rPr>
            <w:webHidden/>
          </w:rPr>
          <w:tab/>
        </w:r>
        <w:r w:rsidR="007E4948">
          <w:rPr>
            <w:webHidden/>
          </w:rPr>
          <w:fldChar w:fldCharType="begin"/>
        </w:r>
        <w:r w:rsidR="007E4948">
          <w:rPr>
            <w:webHidden/>
          </w:rPr>
          <w:instrText xml:space="preserve"> PAGEREF _Toc501453653 \h </w:instrText>
        </w:r>
        <w:r w:rsidR="007E4948">
          <w:rPr>
            <w:webHidden/>
          </w:rPr>
        </w:r>
        <w:r w:rsidR="007E4948">
          <w:rPr>
            <w:webHidden/>
          </w:rPr>
          <w:fldChar w:fldCharType="separate"/>
        </w:r>
        <w:r w:rsidR="007E4948">
          <w:rPr>
            <w:webHidden/>
          </w:rPr>
          <w:t>7</w:t>
        </w:r>
        <w:r w:rsidR="007E4948">
          <w:rPr>
            <w:webHidden/>
          </w:rPr>
          <w:fldChar w:fldCharType="end"/>
        </w:r>
      </w:hyperlink>
    </w:p>
    <w:p w14:paraId="469E0267"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54" w:history="1">
        <w:r w:rsidR="007E4948" w:rsidRPr="00FC63BE">
          <w:rPr>
            <w:rStyle w:val="Hyperlink"/>
          </w:rPr>
          <w:t>4.</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Discussion of material Issues</w:t>
        </w:r>
        <w:r w:rsidR="007E4948">
          <w:rPr>
            <w:webHidden/>
          </w:rPr>
          <w:tab/>
        </w:r>
        <w:r w:rsidR="007E4948">
          <w:rPr>
            <w:webHidden/>
          </w:rPr>
          <w:fldChar w:fldCharType="begin"/>
        </w:r>
        <w:r w:rsidR="007E4948">
          <w:rPr>
            <w:webHidden/>
          </w:rPr>
          <w:instrText xml:space="preserve"> PAGEREF _Toc501453654 \h </w:instrText>
        </w:r>
        <w:r w:rsidR="007E4948">
          <w:rPr>
            <w:webHidden/>
          </w:rPr>
        </w:r>
        <w:r w:rsidR="007E4948">
          <w:rPr>
            <w:webHidden/>
          </w:rPr>
          <w:fldChar w:fldCharType="separate"/>
        </w:r>
        <w:r w:rsidR="007E4948">
          <w:rPr>
            <w:webHidden/>
          </w:rPr>
          <w:t>8</w:t>
        </w:r>
        <w:r w:rsidR="007E4948">
          <w:rPr>
            <w:webHidden/>
          </w:rPr>
          <w:fldChar w:fldCharType="end"/>
        </w:r>
      </w:hyperlink>
    </w:p>
    <w:p w14:paraId="36CEFDF0" w14:textId="77777777" w:rsidR="007E4948" w:rsidRDefault="00892E93">
      <w:pPr>
        <w:pStyle w:val="TOC2"/>
        <w:rPr>
          <w:color w:val="auto"/>
          <w:sz w:val="22"/>
        </w:rPr>
      </w:pPr>
      <w:hyperlink w:anchor="_Toc501453655" w:history="1">
        <w:r w:rsidR="007E4948" w:rsidRPr="00FC63BE">
          <w:rPr>
            <w:rStyle w:val="Hyperlink"/>
          </w:rPr>
          <w:t>4.1</w:t>
        </w:r>
        <w:r w:rsidR="007E4948">
          <w:rPr>
            <w:color w:val="auto"/>
            <w:sz w:val="22"/>
          </w:rPr>
          <w:tab/>
        </w:r>
        <w:r w:rsidR="007E4948" w:rsidRPr="00FC63BE">
          <w:rPr>
            <w:rStyle w:val="Hyperlink"/>
          </w:rPr>
          <w:t>How non-scheduled generating units are taken into account</w:t>
        </w:r>
        <w:r w:rsidR="007E4948">
          <w:rPr>
            <w:webHidden/>
          </w:rPr>
          <w:tab/>
        </w:r>
        <w:r w:rsidR="007E4948">
          <w:rPr>
            <w:webHidden/>
          </w:rPr>
          <w:fldChar w:fldCharType="begin"/>
        </w:r>
        <w:r w:rsidR="007E4948">
          <w:rPr>
            <w:webHidden/>
          </w:rPr>
          <w:instrText xml:space="preserve"> PAGEREF _Toc501453655 \h </w:instrText>
        </w:r>
        <w:r w:rsidR="007E4948">
          <w:rPr>
            <w:webHidden/>
          </w:rPr>
        </w:r>
        <w:r w:rsidR="007E4948">
          <w:rPr>
            <w:webHidden/>
          </w:rPr>
          <w:fldChar w:fldCharType="separate"/>
        </w:r>
        <w:r w:rsidR="007E4948">
          <w:rPr>
            <w:webHidden/>
          </w:rPr>
          <w:t>8</w:t>
        </w:r>
        <w:r w:rsidR="007E4948">
          <w:rPr>
            <w:webHidden/>
          </w:rPr>
          <w:fldChar w:fldCharType="end"/>
        </w:r>
      </w:hyperlink>
    </w:p>
    <w:p w14:paraId="3DF0B5D5" w14:textId="77777777" w:rsidR="007E4948" w:rsidRDefault="00892E93">
      <w:pPr>
        <w:pStyle w:val="TOC2"/>
        <w:rPr>
          <w:color w:val="auto"/>
          <w:sz w:val="22"/>
        </w:rPr>
      </w:pPr>
      <w:hyperlink w:anchor="_Toc501453656" w:history="1">
        <w:r w:rsidR="007E4948" w:rsidRPr="00FC63BE">
          <w:rPr>
            <w:rStyle w:val="Hyperlink"/>
          </w:rPr>
          <w:t>4.2</w:t>
        </w:r>
        <w:r w:rsidR="007E4948">
          <w:rPr>
            <w:color w:val="auto"/>
            <w:sz w:val="22"/>
          </w:rPr>
          <w:tab/>
        </w:r>
        <w:r w:rsidR="007E4948" w:rsidRPr="00FC63BE">
          <w:rPr>
            <w:rStyle w:val="Hyperlink"/>
          </w:rPr>
          <w:t>Details and basis for input assumptions</w:t>
        </w:r>
        <w:r w:rsidR="007E4948">
          <w:rPr>
            <w:webHidden/>
          </w:rPr>
          <w:tab/>
        </w:r>
        <w:r w:rsidR="007E4948">
          <w:rPr>
            <w:webHidden/>
          </w:rPr>
          <w:fldChar w:fldCharType="begin"/>
        </w:r>
        <w:r w:rsidR="007E4948">
          <w:rPr>
            <w:webHidden/>
          </w:rPr>
          <w:instrText xml:space="preserve"> PAGEREF _Toc501453656 \h </w:instrText>
        </w:r>
        <w:r w:rsidR="007E4948">
          <w:rPr>
            <w:webHidden/>
          </w:rPr>
        </w:r>
        <w:r w:rsidR="007E4948">
          <w:rPr>
            <w:webHidden/>
          </w:rPr>
          <w:fldChar w:fldCharType="separate"/>
        </w:r>
        <w:r w:rsidR="007E4948">
          <w:rPr>
            <w:webHidden/>
          </w:rPr>
          <w:t>8</w:t>
        </w:r>
        <w:r w:rsidR="007E4948">
          <w:rPr>
            <w:webHidden/>
          </w:rPr>
          <w:fldChar w:fldCharType="end"/>
        </w:r>
      </w:hyperlink>
    </w:p>
    <w:p w14:paraId="567C7775" w14:textId="77777777" w:rsidR="007E4948" w:rsidRDefault="00892E93">
      <w:pPr>
        <w:pStyle w:val="TOC2"/>
        <w:rPr>
          <w:color w:val="auto"/>
          <w:sz w:val="22"/>
        </w:rPr>
      </w:pPr>
      <w:hyperlink w:anchor="_Toc501453657" w:history="1">
        <w:r w:rsidR="007E4948" w:rsidRPr="00FC63BE">
          <w:rPr>
            <w:rStyle w:val="Hyperlink"/>
          </w:rPr>
          <w:t>4.3</w:t>
        </w:r>
        <w:r w:rsidR="007E4948">
          <w:rPr>
            <w:color w:val="auto"/>
            <w:sz w:val="22"/>
          </w:rPr>
          <w:tab/>
        </w:r>
        <w:r w:rsidR="007E4948" w:rsidRPr="00FC63BE">
          <w:rPr>
            <w:rStyle w:val="Hyperlink"/>
          </w:rPr>
          <w:t>Confidence levels for FUM</w:t>
        </w:r>
        <w:r w:rsidR="007E4948">
          <w:rPr>
            <w:webHidden/>
          </w:rPr>
          <w:tab/>
        </w:r>
        <w:r w:rsidR="007E4948">
          <w:rPr>
            <w:webHidden/>
          </w:rPr>
          <w:fldChar w:fldCharType="begin"/>
        </w:r>
        <w:r w:rsidR="007E4948">
          <w:rPr>
            <w:webHidden/>
          </w:rPr>
          <w:instrText xml:space="preserve"> PAGEREF _Toc501453657 \h </w:instrText>
        </w:r>
        <w:r w:rsidR="007E4948">
          <w:rPr>
            <w:webHidden/>
          </w:rPr>
        </w:r>
        <w:r w:rsidR="007E4948">
          <w:rPr>
            <w:webHidden/>
          </w:rPr>
          <w:fldChar w:fldCharType="separate"/>
        </w:r>
        <w:r w:rsidR="007E4948">
          <w:rPr>
            <w:webHidden/>
          </w:rPr>
          <w:t>9</w:t>
        </w:r>
        <w:r w:rsidR="007E4948">
          <w:rPr>
            <w:webHidden/>
          </w:rPr>
          <w:fldChar w:fldCharType="end"/>
        </w:r>
      </w:hyperlink>
    </w:p>
    <w:p w14:paraId="7FFF9D7D" w14:textId="77777777" w:rsidR="007E4948" w:rsidRDefault="00892E93">
      <w:pPr>
        <w:pStyle w:val="TOC2"/>
        <w:rPr>
          <w:color w:val="auto"/>
          <w:sz w:val="22"/>
        </w:rPr>
      </w:pPr>
      <w:hyperlink w:anchor="_Toc501453658" w:history="1">
        <w:r w:rsidR="007E4948" w:rsidRPr="00FC63BE">
          <w:rPr>
            <w:rStyle w:val="Hyperlink"/>
          </w:rPr>
          <w:t>4.4</w:t>
        </w:r>
        <w:r w:rsidR="007E4948">
          <w:rPr>
            <w:color w:val="auto"/>
            <w:sz w:val="22"/>
          </w:rPr>
          <w:tab/>
        </w:r>
        <w:r w:rsidR="007E4948" w:rsidRPr="00FC63BE">
          <w:rPr>
            <w:rStyle w:val="Hyperlink"/>
          </w:rPr>
          <w:t>Relevant credible contingency events</w:t>
        </w:r>
        <w:r w:rsidR="007E4948">
          <w:rPr>
            <w:webHidden/>
          </w:rPr>
          <w:tab/>
        </w:r>
        <w:r w:rsidR="007E4948">
          <w:rPr>
            <w:webHidden/>
          </w:rPr>
          <w:fldChar w:fldCharType="begin"/>
        </w:r>
        <w:r w:rsidR="007E4948">
          <w:rPr>
            <w:webHidden/>
          </w:rPr>
          <w:instrText xml:space="preserve"> PAGEREF _Toc501453658 \h </w:instrText>
        </w:r>
        <w:r w:rsidR="007E4948">
          <w:rPr>
            <w:webHidden/>
          </w:rPr>
        </w:r>
        <w:r w:rsidR="007E4948">
          <w:rPr>
            <w:webHidden/>
          </w:rPr>
          <w:fldChar w:fldCharType="separate"/>
        </w:r>
        <w:r w:rsidR="007E4948">
          <w:rPr>
            <w:webHidden/>
          </w:rPr>
          <w:t>10</w:t>
        </w:r>
        <w:r w:rsidR="007E4948">
          <w:rPr>
            <w:webHidden/>
          </w:rPr>
          <w:fldChar w:fldCharType="end"/>
        </w:r>
      </w:hyperlink>
    </w:p>
    <w:p w14:paraId="0C49CA63" w14:textId="77777777" w:rsidR="007E4948" w:rsidRDefault="00892E93">
      <w:pPr>
        <w:pStyle w:val="TOC2"/>
        <w:rPr>
          <w:color w:val="auto"/>
          <w:sz w:val="22"/>
        </w:rPr>
      </w:pPr>
      <w:hyperlink w:anchor="_Toc501453659" w:history="1">
        <w:r w:rsidR="007E4948" w:rsidRPr="00FC63BE">
          <w:rPr>
            <w:rStyle w:val="Hyperlink"/>
          </w:rPr>
          <w:t>4.5</w:t>
        </w:r>
        <w:r w:rsidR="007E4948">
          <w:rPr>
            <w:color w:val="auto"/>
            <w:sz w:val="22"/>
          </w:rPr>
          <w:tab/>
        </w:r>
        <w:r w:rsidR="007E4948" w:rsidRPr="00FC63BE">
          <w:rPr>
            <w:rStyle w:val="Hyperlink"/>
          </w:rPr>
          <w:t>Alternative calculation of LOR1</w:t>
        </w:r>
        <w:r w:rsidR="007E4948">
          <w:rPr>
            <w:webHidden/>
          </w:rPr>
          <w:tab/>
        </w:r>
        <w:r w:rsidR="007E4948">
          <w:rPr>
            <w:webHidden/>
          </w:rPr>
          <w:fldChar w:fldCharType="begin"/>
        </w:r>
        <w:r w:rsidR="007E4948">
          <w:rPr>
            <w:webHidden/>
          </w:rPr>
          <w:instrText xml:space="preserve"> PAGEREF _Toc501453659 \h </w:instrText>
        </w:r>
        <w:r w:rsidR="007E4948">
          <w:rPr>
            <w:webHidden/>
          </w:rPr>
        </w:r>
        <w:r w:rsidR="007E4948">
          <w:rPr>
            <w:webHidden/>
          </w:rPr>
          <w:fldChar w:fldCharType="separate"/>
        </w:r>
        <w:r w:rsidR="007E4948">
          <w:rPr>
            <w:webHidden/>
          </w:rPr>
          <w:t>11</w:t>
        </w:r>
        <w:r w:rsidR="007E4948">
          <w:rPr>
            <w:webHidden/>
          </w:rPr>
          <w:fldChar w:fldCharType="end"/>
        </w:r>
      </w:hyperlink>
    </w:p>
    <w:p w14:paraId="05E5E2C1" w14:textId="77777777" w:rsidR="007E4948" w:rsidRDefault="00892E93">
      <w:pPr>
        <w:pStyle w:val="TOC2"/>
        <w:rPr>
          <w:color w:val="auto"/>
          <w:sz w:val="22"/>
        </w:rPr>
      </w:pPr>
      <w:hyperlink w:anchor="_Toc501453660" w:history="1">
        <w:r w:rsidR="007E4948" w:rsidRPr="00FC63BE">
          <w:rPr>
            <w:rStyle w:val="Hyperlink"/>
          </w:rPr>
          <w:t>4.6</w:t>
        </w:r>
        <w:r w:rsidR="007E4948">
          <w:rPr>
            <w:color w:val="auto"/>
            <w:sz w:val="22"/>
          </w:rPr>
          <w:tab/>
        </w:r>
        <w:r w:rsidR="007E4948" w:rsidRPr="00FC63BE">
          <w:rPr>
            <w:rStyle w:val="Hyperlink"/>
          </w:rPr>
          <w:t>Improved explanation of the process</w:t>
        </w:r>
        <w:r w:rsidR="007E4948">
          <w:rPr>
            <w:webHidden/>
          </w:rPr>
          <w:tab/>
        </w:r>
        <w:r w:rsidR="007E4948">
          <w:rPr>
            <w:webHidden/>
          </w:rPr>
          <w:fldChar w:fldCharType="begin"/>
        </w:r>
        <w:r w:rsidR="007E4948">
          <w:rPr>
            <w:webHidden/>
          </w:rPr>
          <w:instrText xml:space="preserve"> PAGEREF _Toc501453660 \h </w:instrText>
        </w:r>
        <w:r w:rsidR="007E4948">
          <w:rPr>
            <w:webHidden/>
          </w:rPr>
        </w:r>
        <w:r w:rsidR="007E4948">
          <w:rPr>
            <w:webHidden/>
          </w:rPr>
          <w:fldChar w:fldCharType="separate"/>
        </w:r>
        <w:r w:rsidR="007E4948">
          <w:rPr>
            <w:webHidden/>
          </w:rPr>
          <w:t>11</w:t>
        </w:r>
        <w:r w:rsidR="007E4948">
          <w:rPr>
            <w:webHidden/>
          </w:rPr>
          <w:fldChar w:fldCharType="end"/>
        </w:r>
      </w:hyperlink>
    </w:p>
    <w:p w14:paraId="5F38AEB9" w14:textId="77777777" w:rsidR="007E4948" w:rsidRDefault="00892E93">
      <w:pPr>
        <w:pStyle w:val="TOC2"/>
        <w:rPr>
          <w:color w:val="auto"/>
          <w:sz w:val="22"/>
        </w:rPr>
      </w:pPr>
      <w:hyperlink w:anchor="_Toc501453661" w:history="1">
        <w:r w:rsidR="007E4948" w:rsidRPr="00FC63BE">
          <w:rPr>
            <w:rStyle w:val="Hyperlink"/>
          </w:rPr>
          <w:t>4.7</w:t>
        </w:r>
        <w:r w:rsidR="007E4948">
          <w:rPr>
            <w:color w:val="auto"/>
            <w:sz w:val="22"/>
          </w:rPr>
          <w:tab/>
        </w:r>
        <w:r w:rsidR="007E4948" w:rsidRPr="00FC63BE">
          <w:rPr>
            <w:rStyle w:val="Hyperlink"/>
          </w:rPr>
          <w:t>Publication of FUM values</w:t>
        </w:r>
        <w:r w:rsidR="007E4948">
          <w:rPr>
            <w:webHidden/>
          </w:rPr>
          <w:tab/>
        </w:r>
        <w:r w:rsidR="007E4948">
          <w:rPr>
            <w:webHidden/>
          </w:rPr>
          <w:fldChar w:fldCharType="begin"/>
        </w:r>
        <w:r w:rsidR="007E4948">
          <w:rPr>
            <w:webHidden/>
          </w:rPr>
          <w:instrText xml:space="preserve"> PAGEREF _Toc501453661 \h </w:instrText>
        </w:r>
        <w:r w:rsidR="007E4948">
          <w:rPr>
            <w:webHidden/>
          </w:rPr>
        </w:r>
        <w:r w:rsidR="007E4948">
          <w:rPr>
            <w:webHidden/>
          </w:rPr>
          <w:fldChar w:fldCharType="separate"/>
        </w:r>
        <w:r w:rsidR="007E4948">
          <w:rPr>
            <w:webHidden/>
          </w:rPr>
          <w:t>12</w:t>
        </w:r>
        <w:r w:rsidR="007E4948">
          <w:rPr>
            <w:webHidden/>
          </w:rPr>
          <w:fldChar w:fldCharType="end"/>
        </w:r>
      </w:hyperlink>
    </w:p>
    <w:p w14:paraId="1C93DA48" w14:textId="77777777" w:rsidR="007E4948" w:rsidRDefault="00892E93">
      <w:pPr>
        <w:pStyle w:val="TOC2"/>
        <w:rPr>
          <w:color w:val="auto"/>
          <w:sz w:val="22"/>
        </w:rPr>
      </w:pPr>
      <w:hyperlink w:anchor="_Toc501453662" w:history="1">
        <w:r w:rsidR="007E4948" w:rsidRPr="00FC63BE">
          <w:rPr>
            <w:rStyle w:val="Hyperlink"/>
          </w:rPr>
          <w:t>4.8</w:t>
        </w:r>
        <w:r w:rsidR="007E4948">
          <w:rPr>
            <w:color w:val="auto"/>
            <w:sz w:val="22"/>
          </w:rPr>
          <w:tab/>
        </w:r>
        <w:r w:rsidR="007E4948" w:rsidRPr="00FC63BE">
          <w:rPr>
            <w:rStyle w:val="Hyperlink"/>
          </w:rPr>
          <w:t>Determination of when to declare conditions</w:t>
        </w:r>
        <w:r w:rsidR="007E4948">
          <w:rPr>
            <w:webHidden/>
          </w:rPr>
          <w:tab/>
        </w:r>
        <w:r w:rsidR="007E4948">
          <w:rPr>
            <w:webHidden/>
          </w:rPr>
          <w:fldChar w:fldCharType="begin"/>
        </w:r>
        <w:r w:rsidR="007E4948">
          <w:rPr>
            <w:webHidden/>
          </w:rPr>
          <w:instrText xml:space="preserve"> PAGEREF _Toc501453662 \h </w:instrText>
        </w:r>
        <w:r w:rsidR="007E4948">
          <w:rPr>
            <w:webHidden/>
          </w:rPr>
        </w:r>
        <w:r w:rsidR="007E4948">
          <w:rPr>
            <w:webHidden/>
          </w:rPr>
          <w:fldChar w:fldCharType="separate"/>
        </w:r>
        <w:r w:rsidR="007E4948">
          <w:rPr>
            <w:webHidden/>
          </w:rPr>
          <w:t>12</w:t>
        </w:r>
        <w:r w:rsidR="007E4948">
          <w:rPr>
            <w:webHidden/>
          </w:rPr>
          <w:fldChar w:fldCharType="end"/>
        </w:r>
      </w:hyperlink>
    </w:p>
    <w:p w14:paraId="6F29C549" w14:textId="77777777" w:rsidR="007E4948" w:rsidRDefault="00892E93">
      <w:pPr>
        <w:pStyle w:val="TOC2"/>
        <w:rPr>
          <w:color w:val="auto"/>
          <w:sz w:val="22"/>
        </w:rPr>
      </w:pPr>
      <w:hyperlink w:anchor="_Toc501453663" w:history="1">
        <w:r w:rsidR="007E4948" w:rsidRPr="00FC63BE">
          <w:rPr>
            <w:rStyle w:val="Hyperlink"/>
          </w:rPr>
          <w:t>4.9</w:t>
        </w:r>
        <w:r w:rsidR="007E4948">
          <w:rPr>
            <w:color w:val="auto"/>
            <w:sz w:val="22"/>
          </w:rPr>
          <w:tab/>
        </w:r>
        <w:r w:rsidR="007E4948" w:rsidRPr="00FC63BE">
          <w:rPr>
            <w:rStyle w:val="Hyperlink"/>
          </w:rPr>
          <w:t>Reasonability limits for FUM values</w:t>
        </w:r>
        <w:r w:rsidR="007E4948">
          <w:rPr>
            <w:webHidden/>
          </w:rPr>
          <w:tab/>
        </w:r>
        <w:r w:rsidR="007E4948">
          <w:rPr>
            <w:webHidden/>
          </w:rPr>
          <w:fldChar w:fldCharType="begin"/>
        </w:r>
        <w:r w:rsidR="007E4948">
          <w:rPr>
            <w:webHidden/>
          </w:rPr>
          <w:instrText xml:space="preserve"> PAGEREF _Toc501453663 \h </w:instrText>
        </w:r>
        <w:r w:rsidR="007E4948">
          <w:rPr>
            <w:webHidden/>
          </w:rPr>
        </w:r>
        <w:r w:rsidR="007E4948">
          <w:rPr>
            <w:webHidden/>
          </w:rPr>
          <w:fldChar w:fldCharType="separate"/>
        </w:r>
        <w:r w:rsidR="007E4948">
          <w:rPr>
            <w:webHidden/>
          </w:rPr>
          <w:t>13</w:t>
        </w:r>
        <w:r w:rsidR="007E4948">
          <w:rPr>
            <w:webHidden/>
          </w:rPr>
          <w:fldChar w:fldCharType="end"/>
        </w:r>
      </w:hyperlink>
    </w:p>
    <w:p w14:paraId="30826626" w14:textId="77777777" w:rsidR="007E4948" w:rsidRDefault="00892E93">
      <w:pPr>
        <w:pStyle w:val="TOC2"/>
        <w:rPr>
          <w:color w:val="auto"/>
          <w:sz w:val="22"/>
        </w:rPr>
      </w:pPr>
      <w:hyperlink w:anchor="_Toc501453664" w:history="1">
        <w:r w:rsidR="007E4948" w:rsidRPr="00FC63BE">
          <w:rPr>
            <w:rStyle w:val="Hyperlink"/>
          </w:rPr>
          <w:t>4.10</w:t>
        </w:r>
        <w:r w:rsidR="007E4948">
          <w:rPr>
            <w:color w:val="auto"/>
            <w:sz w:val="22"/>
          </w:rPr>
          <w:tab/>
        </w:r>
        <w:r w:rsidR="007E4948" w:rsidRPr="00FC63BE">
          <w:rPr>
            <w:rStyle w:val="Hyperlink"/>
          </w:rPr>
          <w:t>Future developments</w:t>
        </w:r>
        <w:r w:rsidR="007E4948">
          <w:rPr>
            <w:webHidden/>
          </w:rPr>
          <w:tab/>
        </w:r>
        <w:r w:rsidR="007E4948">
          <w:rPr>
            <w:webHidden/>
          </w:rPr>
          <w:fldChar w:fldCharType="begin"/>
        </w:r>
        <w:r w:rsidR="007E4948">
          <w:rPr>
            <w:webHidden/>
          </w:rPr>
          <w:instrText xml:space="preserve"> PAGEREF _Toc501453664 \h </w:instrText>
        </w:r>
        <w:r w:rsidR="007E4948">
          <w:rPr>
            <w:webHidden/>
          </w:rPr>
        </w:r>
        <w:r w:rsidR="007E4948">
          <w:rPr>
            <w:webHidden/>
          </w:rPr>
          <w:fldChar w:fldCharType="separate"/>
        </w:r>
        <w:r w:rsidR="007E4948">
          <w:rPr>
            <w:webHidden/>
          </w:rPr>
          <w:t>13</w:t>
        </w:r>
        <w:r w:rsidR="007E4948">
          <w:rPr>
            <w:webHidden/>
          </w:rPr>
          <w:fldChar w:fldCharType="end"/>
        </w:r>
      </w:hyperlink>
    </w:p>
    <w:p w14:paraId="1595978C"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65" w:history="1">
        <w:r w:rsidR="007E4948" w:rsidRPr="00FC63BE">
          <w:rPr>
            <w:rStyle w:val="Hyperlink"/>
          </w:rPr>
          <w:t>5.</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other Matters</w:t>
        </w:r>
        <w:r w:rsidR="007E4948">
          <w:rPr>
            <w:webHidden/>
          </w:rPr>
          <w:tab/>
        </w:r>
        <w:r w:rsidR="007E4948">
          <w:rPr>
            <w:webHidden/>
          </w:rPr>
          <w:fldChar w:fldCharType="begin"/>
        </w:r>
        <w:r w:rsidR="007E4948">
          <w:rPr>
            <w:webHidden/>
          </w:rPr>
          <w:instrText xml:space="preserve"> PAGEREF _Toc501453665 \h </w:instrText>
        </w:r>
        <w:r w:rsidR="007E4948">
          <w:rPr>
            <w:webHidden/>
          </w:rPr>
        </w:r>
        <w:r w:rsidR="007E4948">
          <w:rPr>
            <w:webHidden/>
          </w:rPr>
          <w:fldChar w:fldCharType="separate"/>
        </w:r>
        <w:r w:rsidR="007E4948">
          <w:rPr>
            <w:webHidden/>
          </w:rPr>
          <w:t>14</w:t>
        </w:r>
        <w:r w:rsidR="007E4948">
          <w:rPr>
            <w:webHidden/>
          </w:rPr>
          <w:fldChar w:fldCharType="end"/>
        </w:r>
      </w:hyperlink>
    </w:p>
    <w:p w14:paraId="26E3A43C" w14:textId="77777777" w:rsidR="007E4948" w:rsidRDefault="00892E93">
      <w:pPr>
        <w:pStyle w:val="TOC2"/>
        <w:rPr>
          <w:color w:val="auto"/>
          <w:sz w:val="22"/>
        </w:rPr>
      </w:pPr>
      <w:hyperlink w:anchor="_Toc501453666" w:history="1">
        <w:r w:rsidR="007E4948" w:rsidRPr="00FC63BE">
          <w:rPr>
            <w:rStyle w:val="Hyperlink"/>
          </w:rPr>
          <w:t>5.1</w:t>
        </w:r>
        <w:r w:rsidR="007E4948">
          <w:rPr>
            <w:color w:val="auto"/>
            <w:sz w:val="22"/>
          </w:rPr>
          <w:tab/>
        </w:r>
        <w:r w:rsidR="007E4948" w:rsidRPr="00FC63BE">
          <w:rPr>
            <w:rStyle w:val="Hyperlink"/>
          </w:rPr>
          <w:t>Determination of appropriate confidence levels for FUM</w:t>
        </w:r>
        <w:r w:rsidR="007E4948">
          <w:rPr>
            <w:webHidden/>
          </w:rPr>
          <w:tab/>
        </w:r>
        <w:r w:rsidR="007E4948">
          <w:rPr>
            <w:webHidden/>
          </w:rPr>
          <w:fldChar w:fldCharType="begin"/>
        </w:r>
        <w:r w:rsidR="007E4948">
          <w:rPr>
            <w:webHidden/>
          </w:rPr>
          <w:instrText xml:space="preserve"> PAGEREF _Toc501453666 \h </w:instrText>
        </w:r>
        <w:r w:rsidR="007E4948">
          <w:rPr>
            <w:webHidden/>
          </w:rPr>
        </w:r>
        <w:r w:rsidR="007E4948">
          <w:rPr>
            <w:webHidden/>
          </w:rPr>
          <w:fldChar w:fldCharType="separate"/>
        </w:r>
        <w:r w:rsidR="007E4948">
          <w:rPr>
            <w:webHidden/>
          </w:rPr>
          <w:t>14</w:t>
        </w:r>
        <w:r w:rsidR="007E4948">
          <w:rPr>
            <w:webHidden/>
          </w:rPr>
          <w:fldChar w:fldCharType="end"/>
        </w:r>
      </w:hyperlink>
    </w:p>
    <w:p w14:paraId="06206B7D" w14:textId="77777777" w:rsidR="007E4948" w:rsidRDefault="00892E93">
      <w:pPr>
        <w:pStyle w:val="TOC2"/>
        <w:rPr>
          <w:color w:val="auto"/>
          <w:sz w:val="22"/>
        </w:rPr>
      </w:pPr>
      <w:hyperlink w:anchor="_Toc501453667" w:history="1">
        <w:r w:rsidR="007E4948" w:rsidRPr="00FC63BE">
          <w:rPr>
            <w:rStyle w:val="Hyperlink"/>
          </w:rPr>
          <w:t>5.2</w:t>
        </w:r>
        <w:r w:rsidR="007E4948">
          <w:rPr>
            <w:color w:val="auto"/>
            <w:sz w:val="22"/>
          </w:rPr>
          <w:tab/>
        </w:r>
        <w:r w:rsidR="007E4948" w:rsidRPr="00FC63BE">
          <w:rPr>
            <w:rStyle w:val="Hyperlink"/>
          </w:rPr>
          <w:t>Expected impact of new approach</w:t>
        </w:r>
        <w:r w:rsidR="007E4948">
          <w:rPr>
            <w:webHidden/>
          </w:rPr>
          <w:tab/>
        </w:r>
        <w:r w:rsidR="007E4948">
          <w:rPr>
            <w:webHidden/>
          </w:rPr>
          <w:fldChar w:fldCharType="begin"/>
        </w:r>
        <w:r w:rsidR="007E4948">
          <w:rPr>
            <w:webHidden/>
          </w:rPr>
          <w:instrText xml:space="preserve"> PAGEREF _Toc501453667 \h </w:instrText>
        </w:r>
        <w:r w:rsidR="007E4948">
          <w:rPr>
            <w:webHidden/>
          </w:rPr>
        </w:r>
        <w:r w:rsidR="007E4948">
          <w:rPr>
            <w:webHidden/>
          </w:rPr>
          <w:fldChar w:fldCharType="separate"/>
        </w:r>
        <w:r w:rsidR="007E4948">
          <w:rPr>
            <w:webHidden/>
          </w:rPr>
          <w:t>16</w:t>
        </w:r>
        <w:r w:rsidR="007E4948">
          <w:rPr>
            <w:webHidden/>
          </w:rPr>
          <w:fldChar w:fldCharType="end"/>
        </w:r>
      </w:hyperlink>
    </w:p>
    <w:p w14:paraId="24C85E26" w14:textId="77777777" w:rsidR="007E4948" w:rsidRDefault="00892E93">
      <w:pPr>
        <w:pStyle w:val="TOC2"/>
        <w:rPr>
          <w:color w:val="auto"/>
          <w:sz w:val="22"/>
        </w:rPr>
      </w:pPr>
      <w:hyperlink w:anchor="_Toc501453668" w:history="1">
        <w:r w:rsidR="007E4948" w:rsidRPr="00FC63BE">
          <w:rPr>
            <w:rStyle w:val="Hyperlink"/>
          </w:rPr>
          <w:t>5.3</w:t>
        </w:r>
        <w:r w:rsidR="007E4948">
          <w:rPr>
            <w:color w:val="auto"/>
            <w:sz w:val="22"/>
          </w:rPr>
          <w:tab/>
        </w:r>
        <w:r w:rsidR="007E4948" w:rsidRPr="00FC63BE">
          <w:rPr>
            <w:rStyle w:val="Hyperlink"/>
          </w:rPr>
          <w:t>Error distributions</w:t>
        </w:r>
        <w:r w:rsidR="007E4948">
          <w:rPr>
            <w:webHidden/>
          </w:rPr>
          <w:tab/>
        </w:r>
        <w:r w:rsidR="007E4948">
          <w:rPr>
            <w:webHidden/>
          </w:rPr>
          <w:fldChar w:fldCharType="begin"/>
        </w:r>
        <w:r w:rsidR="007E4948">
          <w:rPr>
            <w:webHidden/>
          </w:rPr>
          <w:instrText xml:space="preserve"> PAGEREF _Toc501453668 \h </w:instrText>
        </w:r>
        <w:r w:rsidR="007E4948">
          <w:rPr>
            <w:webHidden/>
          </w:rPr>
        </w:r>
        <w:r w:rsidR="007E4948">
          <w:rPr>
            <w:webHidden/>
          </w:rPr>
          <w:fldChar w:fldCharType="separate"/>
        </w:r>
        <w:r w:rsidR="007E4948">
          <w:rPr>
            <w:webHidden/>
          </w:rPr>
          <w:t>17</w:t>
        </w:r>
        <w:r w:rsidR="007E4948">
          <w:rPr>
            <w:webHidden/>
          </w:rPr>
          <w:fldChar w:fldCharType="end"/>
        </w:r>
      </w:hyperlink>
    </w:p>
    <w:p w14:paraId="35D09313" w14:textId="77777777" w:rsidR="007E4948" w:rsidRDefault="00892E93">
      <w:pPr>
        <w:pStyle w:val="TOC2"/>
        <w:rPr>
          <w:color w:val="auto"/>
          <w:sz w:val="22"/>
        </w:rPr>
      </w:pPr>
      <w:hyperlink w:anchor="_Toc501453669" w:history="1">
        <w:r w:rsidR="007E4948" w:rsidRPr="00FC63BE">
          <w:rPr>
            <w:rStyle w:val="Hyperlink"/>
          </w:rPr>
          <w:t>5.4</w:t>
        </w:r>
        <w:r w:rsidR="007E4948">
          <w:rPr>
            <w:color w:val="auto"/>
            <w:sz w:val="22"/>
          </w:rPr>
          <w:tab/>
        </w:r>
        <w:r w:rsidR="007E4948" w:rsidRPr="00FC63BE">
          <w:rPr>
            <w:rStyle w:val="Hyperlink"/>
          </w:rPr>
          <w:t>Initial reasonability limits for FUM values</w:t>
        </w:r>
        <w:r w:rsidR="007E4948">
          <w:rPr>
            <w:webHidden/>
          </w:rPr>
          <w:tab/>
        </w:r>
        <w:r w:rsidR="007E4948">
          <w:rPr>
            <w:webHidden/>
          </w:rPr>
          <w:fldChar w:fldCharType="begin"/>
        </w:r>
        <w:r w:rsidR="007E4948">
          <w:rPr>
            <w:webHidden/>
          </w:rPr>
          <w:instrText xml:space="preserve"> PAGEREF _Toc501453669 \h </w:instrText>
        </w:r>
        <w:r w:rsidR="007E4948">
          <w:rPr>
            <w:webHidden/>
          </w:rPr>
        </w:r>
        <w:r w:rsidR="007E4948">
          <w:rPr>
            <w:webHidden/>
          </w:rPr>
          <w:fldChar w:fldCharType="separate"/>
        </w:r>
        <w:r w:rsidR="007E4948">
          <w:rPr>
            <w:webHidden/>
          </w:rPr>
          <w:t>17</w:t>
        </w:r>
        <w:r w:rsidR="007E4948">
          <w:rPr>
            <w:webHidden/>
          </w:rPr>
          <w:fldChar w:fldCharType="end"/>
        </w:r>
      </w:hyperlink>
    </w:p>
    <w:p w14:paraId="1DA70D61" w14:textId="77777777" w:rsidR="007E4948" w:rsidRDefault="00892E93">
      <w:pPr>
        <w:pStyle w:val="TOC1"/>
        <w:rPr>
          <w:rFonts w:asciiTheme="minorHAnsi" w:eastAsiaTheme="minorEastAsia" w:hAnsiTheme="minorHAnsi" w:cstheme="minorBidi"/>
          <w:b w:val="0"/>
          <w:caps w:val="0"/>
          <w:color w:val="auto"/>
          <w:sz w:val="22"/>
          <w:szCs w:val="22"/>
          <w:lang w:eastAsia="en-AU"/>
        </w:rPr>
      </w:pPr>
      <w:hyperlink w:anchor="_Toc501453670" w:history="1">
        <w:r w:rsidR="007E4948" w:rsidRPr="00FC63BE">
          <w:rPr>
            <w:rStyle w:val="Hyperlink"/>
          </w:rPr>
          <w:t>6.</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Determination</w:t>
        </w:r>
        <w:r w:rsidR="007E4948">
          <w:rPr>
            <w:webHidden/>
          </w:rPr>
          <w:tab/>
        </w:r>
        <w:r w:rsidR="007E4948">
          <w:rPr>
            <w:webHidden/>
          </w:rPr>
          <w:fldChar w:fldCharType="begin"/>
        </w:r>
        <w:r w:rsidR="007E4948">
          <w:rPr>
            <w:webHidden/>
          </w:rPr>
          <w:instrText xml:space="preserve"> PAGEREF _Toc501453670 \h </w:instrText>
        </w:r>
        <w:r w:rsidR="007E4948">
          <w:rPr>
            <w:webHidden/>
          </w:rPr>
        </w:r>
        <w:r w:rsidR="007E4948">
          <w:rPr>
            <w:webHidden/>
          </w:rPr>
          <w:fldChar w:fldCharType="separate"/>
        </w:r>
        <w:r w:rsidR="007E4948">
          <w:rPr>
            <w:webHidden/>
          </w:rPr>
          <w:t>19</w:t>
        </w:r>
        <w:r w:rsidR="007E4948">
          <w:rPr>
            <w:webHidden/>
          </w:rPr>
          <w:fldChar w:fldCharType="end"/>
        </w:r>
      </w:hyperlink>
    </w:p>
    <w:p w14:paraId="2CB91509" w14:textId="77777777" w:rsidR="007E4948" w:rsidRDefault="00892E93">
      <w:pPr>
        <w:pStyle w:val="TOC5"/>
        <w:rPr>
          <w:rFonts w:asciiTheme="minorHAnsi" w:eastAsiaTheme="minorEastAsia" w:hAnsiTheme="minorHAnsi" w:cstheme="minorBidi"/>
          <w:b w:val="0"/>
          <w:caps w:val="0"/>
          <w:color w:val="auto"/>
          <w:sz w:val="22"/>
          <w:szCs w:val="22"/>
          <w:lang w:eastAsia="en-AU"/>
        </w:rPr>
      </w:pPr>
      <w:hyperlink w:anchor="_Toc501453671" w:history="1">
        <w:r w:rsidR="007E4948" w:rsidRPr="00FC63BE">
          <w:rPr>
            <w:rStyle w:val="Hyperlink"/>
          </w:rPr>
          <w:t>Appendix A.</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Glossary</w:t>
        </w:r>
        <w:r w:rsidR="007E4948">
          <w:rPr>
            <w:webHidden/>
          </w:rPr>
          <w:tab/>
        </w:r>
        <w:r w:rsidR="007E4948">
          <w:rPr>
            <w:webHidden/>
          </w:rPr>
          <w:fldChar w:fldCharType="begin"/>
        </w:r>
        <w:r w:rsidR="007E4948">
          <w:rPr>
            <w:webHidden/>
          </w:rPr>
          <w:instrText xml:space="preserve"> PAGEREF _Toc501453671 \h </w:instrText>
        </w:r>
        <w:r w:rsidR="007E4948">
          <w:rPr>
            <w:webHidden/>
          </w:rPr>
        </w:r>
        <w:r w:rsidR="007E4948">
          <w:rPr>
            <w:webHidden/>
          </w:rPr>
          <w:fldChar w:fldCharType="separate"/>
        </w:r>
        <w:r w:rsidR="007E4948">
          <w:rPr>
            <w:webHidden/>
          </w:rPr>
          <w:t>20</w:t>
        </w:r>
        <w:r w:rsidR="007E4948">
          <w:rPr>
            <w:webHidden/>
          </w:rPr>
          <w:fldChar w:fldCharType="end"/>
        </w:r>
      </w:hyperlink>
    </w:p>
    <w:p w14:paraId="5368C918" w14:textId="77777777" w:rsidR="007E4948" w:rsidRDefault="00892E93">
      <w:pPr>
        <w:pStyle w:val="TOC5"/>
        <w:rPr>
          <w:rFonts w:asciiTheme="minorHAnsi" w:eastAsiaTheme="minorEastAsia" w:hAnsiTheme="minorHAnsi" w:cstheme="minorBidi"/>
          <w:b w:val="0"/>
          <w:caps w:val="0"/>
          <w:color w:val="auto"/>
          <w:sz w:val="22"/>
          <w:szCs w:val="22"/>
          <w:lang w:eastAsia="en-AU"/>
        </w:rPr>
      </w:pPr>
      <w:hyperlink w:anchor="_Toc501453672" w:history="1">
        <w:r w:rsidR="007E4948" w:rsidRPr="00FC63BE">
          <w:rPr>
            <w:rStyle w:val="Hyperlink"/>
          </w:rPr>
          <w:t>Appendix B.</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rPr>
          <w:t>Confidence levels for FUM</w:t>
        </w:r>
        <w:r w:rsidR="007E4948">
          <w:rPr>
            <w:webHidden/>
          </w:rPr>
          <w:tab/>
        </w:r>
        <w:r w:rsidR="007E4948">
          <w:rPr>
            <w:webHidden/>
          </w:rPr>
          <w:fldChar w:fldCharType="begin"/>
        </w:r>
        <w:r w:rsidR="007E4948">
          <w:rPr>
            <w:webHidden/>
          </w:rPr>
          <w:instrText xml:space="preserve"> PAGEREF _Toc501453672 \h </w:instrText>
        </w:r>
        <w:r w:rsidR="007E4948">
          <w:rPr>
            <w:webHidden/>
          </w:rPr>
        </w:r>
        <w:r w:rsidR="007E4948">
          <w:rPr>
            <w:webHidden/>
          </w:rPr>
          <w:fldChar w:fldCharType="separate"/>
        </w:r>
        <w:r w:rsidR="007E4948">
          <w:rPr>
            <w:webHidden/>
          </w:rPr>
          <w:t>21</w:t>
        </w:r>
        <w:r w:rsidR="007E4948">
          <w:rPr>
            <w:webHidden/>
          </w:rPr>
          <w:fldChar w:fldCharType="end"/>
        </w:r>
      </w:hyperlink>
    </w:p>
    <w:p w14:paraId="75F77ADA" w14:textId="77777777" w:rsidR="007E4948" w:rsidRDefault="00892E93">
      <w:pPr>
        <w:pStyle w:val="TOC2"/>
        <w:rPr>
          <w:color w:val="auto"/>
          <w:sz w:val="22"/>
        </w:rPr>
      </w:pPr>
      <w:hyperlink w:anchor="_Toc501453673" w:history="1">
        <w:r w:rsidR="007E4948" w:rsidRPr="00FC63BE">
          <w:rPr>
            <w:rStyle w:val="Hyperlink"/>
          </w:rPr>
          <w:t>B.1</w:t>
        </w:r>
        <w:r w:rsidR="007E4948">
          <w:rPr>
            <w:color w:val="auto"/>
            <w:sz w:val="22"/>
          </w:rPr>
          <w:tab/>
        </w:r>
        <w:r w:rsidR="007E4948" w:rsidRPr="00FC63BE">
          <w:rPr>
            <w:rStyle w:val="Hyperlink"/>
          </w:rPr>
          <w:t>New South Wales</w:t>
        </w:r>
        <w:r w:rsidR="007E4948">
          <w:rPr>
            <w:webHidden/>
          </w:rPr>
          <w:tab/>
        </w:r>
        <w:r w:rsidR="007E4948">
          <w:rPr>
            <w:webHidden/>
          </w:rPr>
          <w:fldChar w:fldCharType="begin"/>
        </w:r>
        <w:r w:rsidR="007E4948">
          <w:rPr>
            <w:webHidden/>
          </w:rPr>
          <w:instrText xml:space="preserve"> PAGEREF _Toc501453673 \h </w:instrText>
        </w:r>
        <w:r w:rsidR="007E4948">
          <w:rPr>
            <w:webHidden/>
          </w:rPr>
        </w:r>
        <w:r w:rsidR="007E4948">
          <w:rPr>
            <w:webHidden/>
          </w:rPr>
          <w:fldChar w:fldCharType="separate"/>
        </w:r>
        <w:r w:rsidR="007E4948">
          <w:rPr>
            <w:webHidden/>
          </w:rPr>
          <w:t>21</w:t>
        </w:r>
        <w:r w:rsidR="007E4948">
          <w:rPr>
            <w:webHidden/>
          </w:rPr>
          <w:fldChar w:fldCharType="end"/>
        </w:r>
      </w:hyperlink>
    </w:p>
    <w:p w14:paraId="3230F4EF" w14:textId="77777777" w:rsidR="007E4948" w:rsidRDefault="00892E93">
      <w:pPr>
        <w:pStyle w:val="TOC2"/>
        <w:rPr>
          <w:color w:val="auto"/>
          <w:sz w:val="22"/>
        </w:rPr>
      </w:pPr>
      <w:hyperlink w:anchor="_Toc501453675" w:history="1">
        <w:r w:rsidR="007E4948" w:rsidRPr="00FC63BE">
          <w:rPr>
            <w:rStyle w:val="Hyperlink"/>
          </w:rPr>
          <w:t>B.2</w:t>
        </w:r>
        <w:r w:rsidR="007E4948">
          <w:rPr>
            <w:color w:val="auto"/>
            <w:sz w:val="22"/>
          </w:rPr>
          <w:tab/>
        </w:r>
        <w:r w:rsidR="007E4948" w:rsidRPr="00FC63BE">
          <w:rPr>
            <w:rStyle w:val="Hyperlink"/>
          </w:rPr>
          <w:t>Queensland</w:t>
        </w:r>
        <w:r w:rsidR="007E4948">
          <w:rPr>
            <w:webHidden/>
          </w:rPr>
          <w:tab/>
        </w:r>
        <w:r w:rsidR="007E4948">
          <w:rPr>
            <w:webHidden/>
          </w:rPr>
          <w:fldChar w:fldCharType="begin"/>
        </w:r>
        <w:r w:rsidR="007E4948">
          <w:rPr>
            <w:webHidden/>
          </w:rPr>
          <w:instrText xml:space="preserve"> PAGEREF _Toc501453675 \h </w:instrText>
        </w:r>
        <w:r w:rsidR="007E4948">
          <w:rPr>
            <w:webHidden/>
          </w:rPr>
        </w:r>
        <w:r w:rsidR="007E4948">
          <w:rPr>
            <w:webHidden/>
          </w:rPr>
          <w:fldChar w:fldCharType="separate"/>
        </w:r>
        <w:r w:rsidR="007E4948">
          <w:rPr>
            <w:webHidden/>
          </w:rPr>
          <w:t>22</w:t>
        </w:r>
        <w:r w:rsidR="007E4948">
          <w:rPr>
            <w:webHidden/>
          </w:rPr>
          <w:fldChar w:fldCharType="end"/>
        </w:r>
      </w:hyperlink>
    </w:p>
    <w:p w14:paraId="1B31327E" w14:textId="77777777" w:rsidR="007E4948" w:rsidRDefault="00892E93">
      <w:pPr>
        <w:pStyle w:val="TOC2"/>
        <w:rPr>
          <w:color w:val="auto"/>
          <w:sz w:val="22"/>
        </w:rPr>
      </w:pPr>
      <w:hyperlink w:anchor="_Toc501453678" w:history="1">
        <w:r w:rsidR="007E4948" w:rsidRPr="00FC63BE">
          <w:rPr>
            <w:rStyle w:val="Hyperlink"/>
          </w:rPr>
          <w:t>B.3</w:t>
        </w:r>
        <w:r w:rsidR="007E4948">
          <w:rPr>
            <w:color w:val="auto"/>
            <w:sz w:val="22"/>
          </w:rPr>
          <w:tab/>
        </w:r>
        <w:r w:rsidR="007E4948" w:rsidRPr="00FC63BE">
          <w:rPr>
            <w:rStyle w:val="Hyperlink"/>
          </w:rPr>
          <w:t>South Australia</w:t>
        </w:r>
        <w:r w:rsidR="007E4948">
          <w:rPr>
            <w:webHidden/>
          </w:rPr>
          <w:tab/>
        </w:r>
        <w:r w:rsidR="007E4948">
          <w:rPr>
            <w:webHidden/>
          </w:rPr>
          <w:fldChar w:fldCharType="begin"/>
        </w:r>
        <w:r w:rsidR="007E4948">
          <w:rPr>
            <w:webHidden/>
          </w:rPr>
          <w:instrText xml:space="preserve"> PAGEREF _Toc501453678 \h </w:instrText>
        </w:r>
        <w:r w:rsidR="007E4948">
          <w:rPr>
            <w:webHidden/>
          </w:rPr>
        </w:r>
        <w:r w:rsidR="007E4948">
          <w:rPr>
            <w:webHidden/>
          </w:rPr>
          <w:fldChar w:fldCharType="separate"/>
        </w:r>
        <w:r w:rsidR="007E4948">
          <w:rPr>
            <w:webHidden/>
          </w:rPr>
          <w:t>24</w:t>
        </w:r>
        <w:r w:rsidR="007E4948">
          <w:rPr>
            <w:webHidden/>
          </w:rPr>
          <w:fldChar w:fldCharType="end"/>
        </w:r>
      </w:hyperlink>
    </w:p>
    <w:p w14:paraId="496AD20E" w14:textId="77777777" w:rsidR="007E4948" w:rsidRDefault="00892E93">
      <w:pPr>
        <w:pStyle w:val="TOC2"/>
        <w:rPr>
          <w:color w:val="auto"/>
          <w:sz w:val="22"/>
        </w:rPr>
      </w:pPr>
      <w:hyperlink w:anchor="_Toc501453679" w:history="1">
        <w:r w:rsidR="007E4948" w:rsidRPr="00FC63BE">
          <w:rPr>
            <w:rStyle w:val="Hyperlink"/>
          </w:rPr>
          <w:t>B.4</w:t>
        </w:r>
        <w:r w:rsidR="007E4948">
          <w:rPr>
            <w:color w:val="auto"/>
            <w:sz w:val="22"/>
          </w:rPr>
          <w:tab/>
        </w:r>
        <w:r w:rsidR="007E4948" w:rsidRPr="00FC63BE">
          <w:rPr>
            <w:rStyle w:val="Hyperlink"/>
          </w:rPr>
          <w:t>Victoria</w:t>
        </w:r>
        <w:r w:rsidR="007E4948">
          <w:rPr>
            <w:webHidden/>
          </w:rPr>
          <w:tab/>
        </w:r>
        <w:r w:rsidR="007E4948">
          <w:rPr>
            <w:webHidden/>
          </w:rPr>
          <w:fldChar w:fldCharType="begin"/>
        </w:r>
        <w:r w:rsidR="007E4948">
          <w:rPr>
            <w:webHidden/>
          </w:rPr>
          <w:instrText xml:space="preserve"> PAGEREF _Toc501453679 \h </w:instrText>
        </w:r>
        <w:r w:rsidR="007E4948">
          <w:rPr>
            <w:webHidden/>
          </w:rPr>
        </w:r>
        <w:r w:rsidR="007E4948">
          <w:rPr>
            <w:webHidden/>
          </w:rPr>
          <w:fldChar w:fldCharType="separate"/>
        </w:r>
        <w:r w:rsidR="007E4948">
          <w:rPr>
            <w:webHidden/>
          </w:rPr>
          <w:t>25</w:t>
        </w:r>
        <w:r w:rsidR="007E4948">
          <w:rPr>
            <w:webHidden/>
          </w:rPr>
          <w:fldChar w:fldCharType="end"/>
        </w:r>
      </w:hyperlink>
    </w:p>
    <w:p w14:paraId="22094B77" w14:textId="77777777" w:rsidR="007E4948" w:rsidRDefault="00892E93">
      <w:pPr>
        <w:pStyle w:val="TOC5"/>
        <w:rPr>
          <w:rFonts w:asciiTheme="minorHAnsi" w:eastAsiaTheme="minorEastAsia" w:hAnsiTheme="minorHAnsi" w:cstheme="minorBidi"/>
          <w:b w:val="0"/>
          <w:caps w:val="0"/>
          <w:color w:val="auto"/>
          <w:sz w:val="22"/>
          <w:szCs w:val="22"/>
          <w:lang w:eastAsia="en-AU"/>
        </w:rPr>
      </w:pPr>
      <w:hyperlink w:anchor="_Toc501453683" w:history="1">
        <w:r w:rsidR="007E4948" w:rsidRPr="00FC63BE">
          <w:rPr>
            <w:rStyle w:val="Hyperlink"/>
            <w:lang w:eastAsia="en-AU"/>
          </w:rPr>
          <w:t>Appendix C.</w:t>
        </w:r>
        <w:r w:rsidR="007E4948">
          <w:rPr>
            <w:rFonts w:asciiTheme="minorHAnsi" w:eastAsiaTheme="minorEastAsia" w:hAnsiTheme="minorHAnsi" w:cstheme="minorBidi"/>
            <w:b w:val="0"/>
            <w:caps w:val="0"/>
            <w:color w:val="auto"/>
            <w:sz w:val="22"/>
            <w:szCs w:val="22"/>
            <w:lang w:eastAsia="en-AU"/>
          </w:rPr>
          <w:tab/>
        </w:r>
        <w:r w:rsidR="007E4948" w:rsidRPr="00FC63BE">
          <w:rPr>
            <w:rStyle w:val="Hyperlink"/>
            <w:lang w:eastAsia="en-AU"/>
          </w:rPr>
          <w:t>Typical Error Distributions</w:t>
        </w:r>
        <w:r w:rsidR="007E4948">
          <w:rPr>
            <w:webHidden/>
          </w:rPr>
          <w:tab/>
        </w:r>
        <w:r w:rsidR="007E4948">
          <w:rPr>
            <w:webHidden/>
          </w:rPr>
          <w:fldChar w:fldCharType="begin"/>
        </w:r>
        <w:r w:rsidR="007E4948">
          <w:rPr>
            <w:webHidden/>
          </w:rPr>
          <w:instrText xml:space="preserve"> PAGEREF _Toc501453683 \h </w:instrText>
        </w:r>
        <w:r w:rsidR="007E4948">
          <w:rPr>
            <w:webHidden/>
          </w:rPr>
        </w:r>
        <w:r w:rsidR="007E4948">
          <w:rPr>
            <w:webHidden/>
          </w:rPr>
          <w:fldChar w:fldCharType="separate"/>
        </w:r>
        <w:r w:rsidR="007E4948">
          <w:rPr>
            <w:webHidden/>
          </w:rPr>
          <w:t>27</w:t>
        </w:r>
        <w:r w:rsidR="007E4948">
          <w:rPr>
            <w:webHidden/>
          </w:rPr>
          <w:fldChar w:fldCharType="end"/>
        </w:r>
      </w:hyperlink>
    </w:p>
    <w:p w14:paraId="69757680" w14:textId="77777777" w:rsidR="000F03C7" w:rsidRDefault="00747E0D" w:rsidP="00520420">
      <w:r w:rsidRPr="00520420">
        <w:fldChar w:fldCharType="end"/>
      </w:r>
    </w:p>
    <w:p w14:paraId="5A4FF240" w14:textId="77777777" w:rsidR="000F03C7" w:rsidRDefault="000F03C7" w:rsidP="000F03C7">
      <w:pPr>
        <w:pStyle w:val="TOAHeading"/>
      </w:pPr>
      <w:r>
        <w:t>Tables</w:t>
      </w:r>
    </w:p>
    <w:p w14:paraId="4592D54D" w14:textId="77777777" w:rsidR="00B57D74" w:rsidRDefault="00C37B3F">
      <w:pPr>
        <w:pStyle w:val="TOC6"/>
        <w:rPr>
          <w:rFonts w:asciiTheme="minorHAnsi" w:eastAsiaTheme="minorEastAsia" w:hAnsiTheme="minorHAnsi" w:cstheme="minorBidi"/>
          <w:color w:val="auto"/>
          <w:sz w:val="22"/>
          <w:szCs w:val="22"/>
          <w:lang w:eastAsia="en-AU"/>
        </w:rPr>
      </w:pPr>
      <w:r w:rsidRPr="00C37B3F">
        <w:fldChar w:fldCharType="begin"/>
      </w:r>
      <w:r w:rsidRPr="00C37B3F">
        <w:instrText xml:space="preserve"> TOC \h \z \t "Caption Table,6" </w:instrText>
      </w:r>
      <w:r w:rsidRPr="00C37B3F">
        <w:fldChar w:fldCharType="separate"/>
      </w:r>
      <w:hyperlink w:anchor="_Toc501111516" w:history="1">
        <w:r w:rsidR="00B57D74" w:rsidRPr="009A6CE2">
          <w:rPr>
            <w:rStyle w:val="Hyperlink"/>
          </w:rPr>
          <w:t>Table 1</w:t>
        </w:r>
        <w:r w:rsidR="00B57D74">
          <w:rPr>
            <w:rFonts w:asciiTheme="minorHAnsi" w:eastAsiaTheme="minorEastAsia" w:hAnsiTheme="minorHAnsi" w:cstheme="minorBidi"/>
            <w:color w:val="auto"/>
            <w:sz w:val="22"/>
            <w:szCs w:val="22"/>
            <w:lang w:eastAsia="en-AU"/>
          </w:rPr>
          <w:tab/>
        </w:r>
        <w:r w:rsidR="00B57D74" w:rsidRPr="009A6CE2">
          <w:rPr>
            <w:rStyle w:val="Hyperlink"/>
          </w:rPr>
          <w:t>Consultation steps undertaken by AEMO</w:t>
        </w:r>
        <w:r w:rsidR="00B57D74">
          <w:rPr>
            <w:webHidden/>
          </w:rPr>
          <w:tab/>
        </w:r>
        <w:r w:rsidR="00B57D74">
          <w:rPr>
            <w:webHidden/>
          </w:rPr>
          <w:fldChar w:fldCharType="begin"/>
        </w:r>
        <w:r w:rsidR="00B57D74">
          <w:rPr>
            <w:webHidden/>
          </w:rPr>
          <w:instrText xml:space="preserve"> PAGEREF _Toc501111516 \h </w:instrText>
        </w:r>
        <w:r w:rsidR="00B57D74">
          <w:rPr>
            <w:webHidden/>
          </w:rPr>
        </w:r>
        <w:r w:rsidR="00B57D74">
          <w:rPr>
            <w:webHidden/>
          </w:rPr>
          <w:fldChar w:fldCharType="separate"/>
        </w:r>
        <w:r w:rsidR="007E4948">
          <w:rPr>
            <w:webHidden/>
          </w:rPr>
          <w:t>5</w:t>
        </w:r>
        <w:r w:rsidR="00B57D74">
          <w:rPr>
            <w:webHidden/>
          </w:rPr>
          <w:fldChar w:fldCharType="end"/>
        </w:r>
      </w:hyperlink>
    </w:p>
    <w:p w14:paraId="2D0DB395"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17" w:history="1">
        <w:r w:rsidR="00B57D74" w:rsidRPr="009A6CE2">
          <w:rPr>
            <w:rStyle w:val="Hyperlink"/>
          </w:rPr>
          <w:t>Table 2</w:t>
        </w:r>
        <w:r w:rsidR="00B57D74">
          <w:rPr>
            <w:rFonts w:asciiTheme="minorHAnsi" w:eastAsiaTheme="minorEastAsia" w:hAnsiTheme="minorHAnsi" w:cstheme="minorBidi"/>
            <w:color w:val="auto"/>
            <w:sz w:val="22"/>
            <w:szCs w:val="22"/>
            <w:lang w:eastAsia="en-AU"/>
          </w:rPr>
          <w:tab/>
        </w:r>
        <w:r w:rsidR="00B57D74" w:rsidRPr="009A6CE2">
          <w:rPr>
            <w:rStyle w:val="Hyperlink"/>
          </w:rPr>
          <w:t>Summary of material issues</w:t>
        </w:r>
        <w:r w:rsidR="00B57D74">
          <w:rPr>
            <w:webHidden/>
          </w:rPr>
          <w:tab/>
        </w:r>
        <w:r w:rsidR="00B57D74">
          <w:rPr>
            <w:webHidden/>
          </w:rPr>
          <w:fldChar w:fldCharType="begin"/>
        </w:r>
        <w:r w:rsidR="00B57D74">
          <w:rPr>
            <w:webHidden/>
          </w:rPr>
          <w:instrText xml:space="preserve"> PAGEREF _Toc501111517 \h </w:instrText>
        </w:r>
        <w:r w:rsidR="00B57D74">
          <w:rPr>
            <w:webHidden/>
          </w:rPr>
        </w:r>
        <w:r w:rsidR="00B57D74">
          <w:rPr>
            <w:webHidden/>
          </w:rPr>
          <w:fldChar w:fldCharType="separate"/>
        </w:r>
        <w:r w:rsidR="007E4948">
          <w:rPr>
            <w:webHidden/>
          </w:rPr>
          <w:t>7</w:t>
        </w:r>
        <w:r w:rsidR="00B57D74">
          <w:rPr>
            <w:webHidden/>
          </w:rPr>
          <w:fldChar w:fldCharType="end"/>
        </w:r>
      </w:hyperlink>
    </w:p>
    <w:p w14:paraId="01AF25FD"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18" w:history="1">
        <w:r w:rsidR="00B57D74" w:rsidRPr="009A6CE2">
          <w:rPr>
            <w:rStyle w:val="Hyperlink"/>
          </w:rPr>
          <w:t>Table 3</w:t>
        </w:r>
        <w:r w:rsidR="00B57D74">
          <w:rPr>
            <w:rFonts w:asciiTheme="minorHAnsi" w:eastAsiaTheme="minorEastAsia" w:hAnsiTheme="minorHAnsi" w:cstheme="minorBidi"/>
            <w:color w:val="auto"/>
            <w:sz w:val="22"/>
            <w:szCs w:val="22"/>
            <w:lang w:eastAsia="en-AU"/>
          </w:rPr>
          <w:tab/>
        </w:r>
        <w:r w:rsidR="00B57D74" w:rsidRPr="009A6CE2">
          <w:rPr>
            <w:rStyle w:val="Hyperlink"/>
          </w:rPr>
          <w:t>Significant increases in declared forecast conditions relative to current arrangements</w:t>
        </w:r>
        <w:r w:rsidR="00B57D74">
          <w:rPr>
            <w:webHidden/>
          </w:rPr>
          <w:tab/>
        </w:r>
        <w:r w:rsidR="00B57D74">
          <w:rPr>
            <w:webHidden/>
          </w:rPr>
          <w:fldChar w:fldCharType="begin"/>
        </w:r>
        <w:r w:rsidR="00B57D74">
          <w:rPr>
            <w:webHidden/>
          </w:rPr>
          <w:instrText xml:space="preserve"> PAGEREF _Toc501111518 \h </w:instrText>
        </w:r>
        <w:r w:rsidR="00B57D74">
          <w:rPr>
            <w:webHidden/>
          </w:rPr>
        </w:r>
        <w:r w:rsidR="00B57D74">
          <w:rPr>
            <w:webHidden/>
          </w:rPr>
          <w:fldChar w:fldCharType="separate"/>
        </w:r>
        <w:r w:rsidR="007E4948">
          <w:rPr>
            <w:webHidden/>
          </w:rPr>
          <w:t>16</w:t>
        </w:r>
        <w:r w:rsidR="00B57D74">
          <w:rPr>
            <w:webHidden/>
          </w:rPr>
          <w:fldChar w:fldCharType="end"/>
        </w:r>
      </w:hyperlink>
    </w:p>
    <w:p w14:paraId="38858177" w14:textId="607BD75E" w:rsidR="00B57D74" w:rsidRDefault="00892E93">
      <w:pPr>
        <w:pStyle w:val="TOC6"/>
        <w:rPr>
          <w:rFonts w:asciiTheme="minorHAnsi" w:eastAsiaTheme="minorEastAsia" w:hAnsiTheme="minorHAnsi" w:cstheme="minorBidi"/>
          <w:color w:val="auto"/>
          <w:sz w:val="22"/>
          <w:szCs w:val="22"/>
          <w:lang w:eastAsia="en-AU"/>
        </w:rPr>
      </w:pPr>
      <w:hyperlink w:anchor="_Toc501111519" w:history="1">
        <w:r w:rsidR="00B57D74" w:rsidRPr="009A6CE2">
          <w:rPr>
            <w:rStyle w:val="Hyperlink"/>
          </w:rPr>
          <w:t>Table 4</w:t>
        </w:r>
        <w:r w:rsidR="00B57D74">
          <w:rPr>
            <w:rFonts w:asciiTheme="minorHAnsi" w:eastAsiaTheme="minorEastAsia" w:hAnsiTheme="minorHAnsi" w:cstheme="minorBidi"/>
            <w:color w:val="auto"/>
            <w:sz w:val="22"/>
            <w:szCs w:val="22"/>
            <w:lang w:eastAsia="en-AU"/>
          </w:rPr>
          <w:tab/>
        </w:r>
        <w:r w:rsidR="00B57D74" w:rsidRPr="009A6CE2">
          <w:rPr>
            <w:rStyle w:val="Hyperlink"/>
          </w:rPr>
          <w:t>Indicative values of FUM for specific scenarios</w:t>
        </w:r>
        <w:r w:rsidR="00B57D74">
          <w:rPr>
            <w:webHidden/>
          </w:rPr>
          <w:tab/>
        </w:r>
        <w:r w:rsidR="00B57D74">
          <w:rPr>
            <w:webHidden/>
          </w:rPr>
          <w:fldChar w:fldCharType="begin"/>
        </w:r>
        <w:r w:rsidR="00B57D74">
          <w:rPr>
            <w:webHidden/>
          </w:rPr>
          <w:instrText xml:space="preserve"> PAGEREF _Toc501111519 \h </w:instrText>
        </w:r>
        <w:r w:rsidR="00B57D74">
          <w:rPr>
            <w:webHidden/>
          </w:rPr>
        </w:r>
        <w:r w:rsidR="00B57D74">
          <w:rPr>
            <w:webHidden/>
          </w:rPr>
          <w:fldChar w:fldCharType="separate"/>
        </w:r>
        <w:r w:rsidR="007E4948">
          <w:rPr>
            <w:webHidden/>
          </w:rPr>
          <w:t>16</w:t>
        </w:r>
        <w:r w:rsidR="00B57D74">
          <w:rPr>
            <w:webHidden/>
          </w:rPr>
          <w:fldChar w:fldCharType="end"/>
        </w:r>
      </w:hyperlink>
    </w:p>
    <w:p w14:paraId="74C472E4" w14:textId="4D3527AC" w:rsidR="00B57D74" w:rsidRDefault="00892E93">
      <w:pPr>
        <w:pStyle w:val="TOC6"/>
        <w:rPr>
          <w:rFonts w:asciiTheme="minorHAnsi" w:eastAsiaTheme="minorEastAsia" w:hAnsiTheme="minorHAnsi" w:cstheme="minorBidi"/>
          <w:color w:val="auto"/>
          <w:sz w:val="22"/>
          <w:szCs w:val="22"/>
          <w:lang w:eastAsia="en-AU"/>
        </w:rPr>
      </w:pPr>
      <w:hyperlink w:anchor="_Toc501111521" w:history="1">
        <w:r w:rsidR="00B57D74" w:rsidRPr="009A6CE2">
          <w:rPr>
            <w:rStyle w:val="Hyperlink"/>
          </w:rPr>
          <w:t>Table 5</w:t>
        </w:r>
        <w:r w:rsidR="00B57D74">
          <w:rPr>
            <w:webHidden/>
          </w:rPr>
          <w:tab/>
        </w:r>
        <w:r w:rsidR="00B57D74" w:rsidRPr="00B57D74">
          <w:t>Table title</w:t>
        </w:r>
        <w:r w:rsidR="00B57D74" w:rsidRPr="00B57D74">
          <w:rPr>
            <w:webHidden/>
          </w:rPr>
          <w:t xml:space="preserve"> </w:t>
        </w:r>
        <w:r w:rsidR="00B57D74">
          <w:rPr>
            <w:webHidden/>
          </w:rPr>
          <w:tab/>
        </w:r>
        <w:r w:rsidR="00B57D74">
          <w:rPr>
            <w:webHidden/>
          </w:rPr>
          <w:fldChar w:fldCharType="begin"/>
        </w:r>
        <w:r w:rsidR="00B57D74">
          <w:rPr>
            <w:webHidden/>
          </w:rPr>
          <w:instrText xml:space="preserve"> PAGEREF _Toc501111521 \h </w:instrText>
        </w:r>
        <w:r w:rsidR="00B57D74">
          <w:rPr>
            <w:webHidden/>
          </w:rPr>
        </w:r>
        <w:r w:rsidR="00B57D74">
          <w:rPr>
            <w:webHidden/>
          </w:rPr>
          <w:fldChar w:fldCharType="separate"/>
        </w:r>
        <w:r w:rsidR="007E4948">
          <w:rPr>
            <w:webHidden/>
          </w:rPr>
          <w:t>18</w:t>
        </w:r>
        <w:r w:rsidR="00B57D74">
          <w:rPr>
            <w:webHidden/>
          </w:rPr>
          <w:fldChar w:fldCharType="end"/>
        </w:r>
      </w:hyperlink>
    </w:p>
    <w:p w14:paraId="2F788BAA"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2" w:history="1">
        <w:r w:rsidR="00B57D74" w:rsidRPr="009A6CE2">
          <w:rPr>
            <w:rStyle w:val="Hyperlink"/>
            <w:lang w:eastAsia="en-AU"/>
          </w:rPr>
          <w:t>Table 6</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LOR2 conditions in NSW Region (in the six-year period)</w:t>
        </w:r>
        <w:r w:rsidR="00B57D74">
          <w:rPr>
            <w:webHidden/>
          </w:rPr>
          <w:tab/>
        </w:r>
        <w:r w:rsidR="00B57D74">
          <w:rPr>
            <w:webHidden/>
          </w:rPr>
          <w:fldChar w:fldCharType="begin"/>
        </w:r>
        <w:r w:rsidR="00B57D74">
          <w:rPr>
            <w:webHidden/>
          </w:rPr>
          <w:instrText xml:space="preserve"> PAGEREF _Toc501111522 \h </w:instrText>
        </w:r>
        <w:r w:rsidR="00B57D74">
          <w:rPr>
            <w:webHidden/>
          </w:rPr>
        </w:r>
        <w:r w:rsidR="00B57D74">
          <w:rPr>
            <w:webHidden/>
          </w:rPr>
          <w:fldChar w:fldCharType="separate"/>
        </w:r>
        <w:r w:rsidR="007E4948">
          <w:rPr>
            <w:webHidden/>
          </w:rPr>
          <w:t>21</w:t>
        </w:r>
        <w:r w:rsidR="00B57D74">
          <w:rPr>
            <w:webHidden/>
          </w:rPr>
          <w:fldChar w:fldCharType="end"/>
        </w:r>
      </w:hyperlink>
    </w:p>
    <w:p w14:paraId="3E92D5E5"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3" w:history="1">
        <w:r w:rsidR="00B57D74" w:rsidRPr="009A6CE2">
          <w:rPr>
            <w:rStyle w:val="Hyperlink"/>
            <w:lang w:eastAsia="en-AU"/>
          </w:rPr>
          <w:t>Table 7</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LOR2 conditions in NSW Region (in the six-year period)</w:t>
        </w:r>
        <w:r w:rsidR="00B57D74">
          <w:rPr>
            <w:webHidden/>
          </w:rPr>
          <w:tab/>
        </w:r>
        <w:r w:rsidR="00B57D74">
          <w:rPr>
            <w:webHidden/>
          </w:rPr>
          <w:fldChar w:fldCharType="begin"/>
        </w:r>
        <w:r w:rsidR="00B57D74">
          <w:rPr>
            <w:webHidden/>
          </w:rPr>
          <w:instrText xml:space="preserve"> PAGEREF _Toc501111523 \h </w:instrText>
        </w:r>
        <w:r w:rsidR="00B57D74">
          <w:rPr>
            <w:webHidden/>
          </w:rPr>
        </w:r>
        <w:r w:rsidR="00B57D74">
          <w:rPr>
            <w:webHidden/>
          </w:rPr>
          <w:fldChar w:fldCharType="separate"/>
        </w:r>
        <w:r w:rsidR="007E4948">
          <w:rPr>
            <w:webHidden/>
          </w:rPr>
          <w:t>21</w:t>
        </w:r>
        <w:r w:rsidR="00B57D74">
          <w:rPr>
            <w:webHidden/>
          </w:rPr>
          <w:fldChar w:fldCharType="end"/>
        </w:r>
      </w:hyperlink>
    </w:p>
    <w:p w14:paraId="22248391"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4" w:history="1">
        <w:r w:rsidR="00B57D74" w:rsidRPr="009A6CE2">
          <w:rPr>
            <w:rStyle w:val="Hyperlink"/>
            <w:lang w:eastAsia="en-AU"/>
          </w:rPr>
          <w:t>Table 8</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LOR1 conditions in NSW Region (in the six-year period)</w:t>
        </w:r>
        <w:r w:rsidR="00B57D74">
          <w:rPr>
            <w:webHidden/>
          </w:rPr>
          <w:tab/>
        </w:r>
        <w:r w:rsidR="00B57D74">
          <w:rPr>
            <w:webHidden/>
          </w:rPr>
          <w:fldChar w:fldCharType="begin"/>
        </w:r>
        <w:r w:rsidR="00B57D74">
          <w:rPr>
            <w:webHidden/>
          </w:rPr>
          <w:instrText xml:space="preserve"> PAGEREF _Toc501111524 \h </w:instrText>
        </w:r>
        <w:r w:rsidR="00B57D74">
          <w:rPr>
            <w:webHidden/>
          </w:rPr>
        </w:r>
        <w:r w:rsidR="00B57D74">
          <w:rPr>
            <w:webHidden/>
          </w:rPr>
          <w:fldChar w:fldCharType="separate"/>
        </w:r>
        <w:r w:rsidR="007E4948">
          <w:rPr>
            <w:webHidden/>
          </w:rPr>
          <w:t>22</w:t>
        </w:r>
        <w:r w:rsidR="00B57D74">
          <w:rPr>
            <w:webHidden/>
          </w:rPr>
          <w:fldChar w:fldCharType="end"/>
        </w:r>
      </w:hyperlink>
    </w:p>
    <w:p w14:paraId="6DD80F30"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5" w:history="1">
        <w:r w:rsidR="00B57D74" w:rsidRPr="009A6CE2">
          <w:rPr>
            <w:rStyle w:val="Hyperlink"/>
            <w:lang w:eastAsia="en-AU"/>
          </w:rPr>
          <w:t>Table 9</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LOR1 conditions in NSW Region (in the six-year period)</w:t>
        </w:r>
        <w:r w:rsidR="00B57D74">
          <w:rPr>
            <w:webHidden/>
          </w:rPr>
          <w:tab/>
        </w:r>
        <w:r w:rsidR="00B57D74">
          <w:rPr>
            <w:webHidden/>
          </w:rPr>
          <w:fldChar w:fldCharType="begin"/>
        </w:r>
        <w:r w:rsidR="00B57D74">
          <w:rPr>
            <w:webHidden/>
          </w:rPr>
          <w:instrText xml:space="preserve"> PAGEREF _Toc501111525 \h </w:instrText>
        </w:r>
        <w:r w:rsidR="00B57D74">
          <w:rPr>
            <w:webHidden/>
          </w:rPr>
        </w:r>
        <w:r w:rsidR="00B57D74">
          <w:rPr>
            <w:webHidden/>
          </w:rPr>
          <w:fldChar w:fldCharType="separate"/>
        </w:r>
        <w:r w:rsidR="007E4948">
          <w:rPr>
            <w:webHidden/>
          </w:rPr>
          <w:t>22</w:t>
        </w:r>
        <w:r w:rsidR="00B57D74">
          <w:rPr>
            <w:webHidden/>
          </w:rPr>
          <w:fldChar w:fldCharType="end"/>
        </w:r>
      </w:hyperlink>
    </w:p>
    <w:p w14:paraId="14CBA983"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6" w:history="1">
        <w:r w:rsidR="00B57D74" w:rsidRPr="009A6CE2">
          <w:rPr>
            <w:rStyle w:val="Hyperlink"/>
            <w:lang w:eastAsia="en-AU"/>
          </w:rPr>
          <w:t>Table 10</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LOR2 conditions in Qld Region (in the six-year period)</w:t>
        </w:r>
        <w:r w:rsidR="00B57D74">
          <w:rPr>
            <w:webHidden/>
          </w:rPr>
          <w:tab/>
        </w:r>
        <w:r w:rsidR="00B57D74">
          <w:rPr>
            <w:webHidden/>
          </w:rPr>
          <w:fldChar w:fldCharType="begin"/>
        </w:r>
        <w:r w:rsidR="00B57D74">
          <w:rPr>
            <w:webHidden/>
          </w:rPr>
          <w:instrText xml:space="preserve"> PAGEREF _Toc501111526 \h </w:instrText>
        </w:r>
        <w:r w:rsidR="00B57D74">
          <w:rPr>
            <w:webHidden/>
          </w:rPr>
        </w:r>
        <w:r w:rsidR="00B57D74">
          <w:rPr>
            <w:webHidden/>
          </w:rPr>
          <w:fldChar w:fldCharType="separate"/>
        </w:r>
        <w:r w:rsidR="007E4948">
          <w:rPr>
            <w:webHidden/>
          </w:rPr>
          <w:t>22</w:t>
        </w:r>
        <w:r w:rsidR="00B57D74">
          <w:rPr>
            <w:webHidden/>
          </w:rPr>
          <w:fldChar w:fldCharType="end"/>
        </w:r>
      </w:hyperlink>
    </w:p>
    <w:p w14:paraId="6432D0D8"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7" w:history="1">
        <w:r w:rsidR="00B57D74" w:rsidRPr="009A6CE2">
          <w:rPr>
            <w:rStyle w:val="Hyperlink"/>
            <w:lang w:eastAsia="en-AU"/>
          </w:rPr>
          <w:t>Table 11</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LOR2 conditions in Qld Region (in the six-year period)</w:t>
        </w:r>
        <w:r w:rsidR="00B57D74">
          <w:rPr>
            <w:webHidden/>
          </w:rPr>
          <w:tab/>
        </w:r>
        <w:r w:rsidR="00B57D74">
          <w:rPr>
            <w:webHidden/>
          </w:rPr>
          <w:fldChar w:fldCharType="begin"/>
        </w:r>
        <w:r w:rsidR="00B57D74">
          <w:rPr>
            <w:webHidden/>
          </w:rPr>
          <w:instrText xml:space="preserve"> PAGEREF _Toc501111527 \h </w:instrText>
        </w:r>
        <w:r w:rsidR="00B57D74">
          <w:rPr>
            <w:webHidden/>
          </w:rPr>
        </w:r>
        <w:r w:rsidR="00B57D74">
          <w:rPr>
            <w:webHidden/>
          </w:rPr>
          <w:fldChar w:fldCharType="separate"/>
        </w:r>
        <w:r w:rsidR="007E4948">
          <w:rPr>
            <w:webHidden/>
          </w:rPr>
          <w:t>23</w:t>
        </w:r>
        <w:r w:rsidR="00B57D74">
          <w:rPr>
            <w:webHidden/>
          </w:rPr>
          <w:fldChar w:fldCharType="end"/>
        </w:r>
      </w:hyperlink>
    </w:p>
    <w:p w14:paraId="0C82C889"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8" w:history="1">
        <w:r w:rsidR="00B57D74" w:rsidRPr="009A6CE2">
          <w:rPr>
            <w:rStyle w:val="Hyperlink"/>
            <w:lang w:eastAsia="en-AU"/>
          </w:rPr>
          <w:t>Table 12</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LOR1 conditions in Qld Region (in the six-year period)</w:t>
        </w:r>
        <w:r w:rsidR="00B57D74">
          <w:rPr>
            <w:webHidden/>
          </w:rPr>
          <w:tab/>
        </w:r>
        <w:r w:rsidR="00B57D74">
          <w:rPr>
            <w:webHidden/>
          </w:rPr>
          <w:fldChar w:fldCharType="begin"/>
        </w:r>
        <w:r w:rsidR="00B57D74">
          <w:rPr>
            <w:webHidden/>
          </w:rPr>
          <w:instrText xml:space="preserve"> PAGEREF _Toc501111528 \h </w:instrText>
        </w:r>
        <w:r w:rsidR="00B57D74">
          <w:rPr>
            <w:webHidden/>
          </w:rPr>
        </w:r>
        <w:r w:rsidR="00B57D74">
          <w:rPr>
            <w:webHidden/>
          </w:rPr>
          <w:fldChar w:fldCharType="separate"/>
        </w:r>
        <w:r w:rsidR="007E4948">
          <w:rPr>
            <w:webHidden/>
          </w:rPr>
          <w:t>23</w:t>
        </w:r>
        <w:r w:rsidR="00B57D74">
          <w:rPr>
            <w:webHidden/>
          </w:rPr>
          <w:fldChar w:fldCharType="end"/>
        </w:r>
      </w:hyperlink>
    </w:p>
    <w:p w14:paraId="1053EFFC"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29" w:history="1">
        <w:r w:rsidR="00B57D74" w:rsidRPr="009A6CE2">
          <w:rPr>
            <w:rStyle w:val="Hyperlink"/>
            <w:lang w:eastAsia="en-AU"/>
          </w:rPr>
          <w:t>Table 13</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LOR1 conditions in Qld Region (in the six-year period)</w:t>
        </w:r>
        <w:r w:rsidR="00B57D74">
          <w:rPr>
            <w:webHidden/>
          </w:rPr>
          <w:tab/>
        </w:r>
        <w:r w:rsidR="00B57D74">
          <w:rPr>
            <w:webHidden/>
          </w:rPr>
          <w:fldChar w:fldCharType="begin"/>
        </w:r>
        <w:r w:rsidR="00B57D74">
          <w:rPr>
            <w:webHidden/>
          </w:rPr>
          <w:instrText xml:space="preserve"> PAGEREF _Toc501111529 \h </w:instrText>
        </w:r>
        <w:r w:rsidR="00B57D74">
          <w:rPr>
            <w:webHidden/>
          </w:rPr>
        </w:r>
        <w:r w:rsidR="00B57D74">
          <w:rPr>
            <w:webHidden/>
          </w:rPr>
          <w:fldChar w:fldCharType="separate"/>
        </w:r>
        <w:r w:rsidR="007E4948">
          <w:rPr>
            <w:webHidden/>
          </w:rPr>
          <w:t>23</w:t>
        </w:r>
        <w:r w:rsidR="00B57D74">
          <w:rPr>
            <w:webHidden/>
          </w:rPr>
          <w:fldChar w:fldCharType="end"/>
        </w:r>
      </w:hyperlink>
    </w:p>
    <w:p w14:paraId="7F2A6392"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0" w:history="1">
        <w:r w:rsidR="00B57D74" w:rsidRPr="009A6CE2">
          <w:rPr>
            <w:rStyle w:val="Hyperlink"/>
            <w:lang w:eastAsia="en-AU"/>
          </w:rPr>
          <w:t>Table 14</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LOR2 conditions in SA Region (in the six-year period)</w:t>
        </w:r>
        <w:r w:rsidR="00B57D74">
          <w:rPr>
            <w:webHidden/>
          </w:rPr>
          <w:tab/>
        </w:r>
        <w:r w:rsidR="00B57D74">
          <w:rPr>
            <w:webHidden/>
          </w:rPr>
          <w:fldChar w:fldCharType="begin"/>
        </w:r>
        <w:r w:rsidR="00B57D74">
          <w:rPr>
            <w:webHidden/>
          </w:rPr>
          <w:instrText xml:space="preserve"> PAGEREF _Toc501111530 \h </w:instrText>
        </w:r>
        <w:r w:rsidR="00B57D74">
          <w:rPr>
            <w:webHidden/>
          </w:rPr>
        </w:r>
        <w:r w:rsidR="00B57D74">
          <w:rPr>
            <w:webHidden/>
          </w:rPr>
          <w:fldChar w:fldCharType="separate"/>
        </w:r>
        <w:r w:rsidR="007E4948">
          <w:rPr>
            <w:webHidden/>
          </w:rPr>
          <w:t>24</w:t>
        </w:r>
        <w:r w:rsidR="00B57D74">
          <w:rPr>
            <w:webHidden/>
          </w:rPr>
          <w:fldChar w:fldCharType="end"/>
        </w:r>
      </w:hyperlink>
    </w:p>
    <w:p w14:paraId="183ACDC1"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1" w:history="1">
        <w:r w:rsidR="00B57D74" w:rsidRPr="009A6CE2">
          <w:rPr>
            <w:rStyle w:val="Hyperlink"/>
            <w:lang w:eastAsia="en-AU"/>
          </w:rPr>
          <w:t>Table 15</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LOR2 conditions in SA Region (in the six-year period)</w:t>
        </w:r>
        <w:r w:rsidR="00B57D74">
          <w:rPr>
            <w:webHidden/>
          </w:rPr>
          <w:tab/>
        </w:r>
        <w:r w:rsidR="00B57D74">
          <w:rPr>
            <w:webHidden/>
          </w:rPr>
          <w:fldChar w:fldCharType="begin"/>
        </w:r>
        <w:r w:rsidR="00B57D74">
          <w:rPr>
            <w:webHidden/>
          </w:rPr>
          <w:instrText xml:space="preserve"> PAGEREF _Toc501111531 \h </w:instrText>
        </w:r>
        <w:r w:rsidR="00B57D74">
          <w:rPr>
            <w:webHidden/>
          </w:rPr>
        </w:r>
        <w:r w:rsidR="00B57D74">
          <w:rPr>
            <w:webHidden/>
          </w:rPr>
          <w:fldChar w:fldCharType="separate"/>
        </w:r>
        <w:r w:rsidR="007E4948">
          <w:rPr>
            <w:webHidden/>
          </w:rPr>
          <w:t>24</w:t>
        </w:r>
        <w:r w:rsidR="00B57D74">
          <w:rPr>
            <w:webHidden/>
          </w:rPr>
          <w:fldChar w:fldCharType="end"/>
        </w:r>
      </w:hyperlink>
    </w:p>
    <w:p w14:paraId="22F42661"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2" w:history="1">
        <w:r w:rsidR="00B57D74" w:rsidRPr="009A6CE2">
          <w:rPr>
            <w:rStyle w:val="Hyperlink"/>
            <w:lang w:eastAsia="en-AU"/>
          </w:rPr>
          <w:t>Table 16</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LOR1 conditions in SA Region (in the six-year period)</w:t>
        </w:r>
        <w:r w:rsidR="00B57D74">
          <w:rPr>
            <w:webHidden/>
          </w:rPr>
          <w:tab/>
        </w:r>
        <w:r w:rsidR="00B57D74">
          <w:rPr>
            <w:webHidden/>
          </w:rPr>
          <w:fldChar w:fldCharType="begin"/>
        </w:r>
        <w:r w:rsidR="00B57D74">
          <w:rPr>
            <w:webHidden/>
          </w:rPr>
          <w:instrText xml:space="preserve"> PAGEREF _Toc501111532 \h </w:instrText>
        </w:r>
        <w:r w:rsidR="00B57D74">
          <w:rPr>
            <w:webHidden/>
          </w:rPr>
        </w:r>
        <w:r w:rsidR="00B57D74">
          <w:rPr>
            <w:webHidden/>
          </w:rPr>
          <w:fldChar w:fldCharType="separate"/>
        </w:r>
        <w:r w:rsidR="007E4948">
          <w:rPr>
            <w:webHidden/>
          </w:rPr>
          <w:t>24</w:t>
        </w:r>
        <w:r w:rsidR="00B57D74">
          <w:rPr>
            <w:webHidden/>
          </w:rPr>
          <w:fldChar w:fldCharType="end"/>
        </w:r>
      </w:hyperlink>
    </w:p>
    <w:p w14:paraId="0B7112BC"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3" w:history="1">
        <w:r w:rsidR="00B57D74" w:rsidRPr="009A6CE2">
          <w:rPr>
            <w:rStyle w:val="Hyperlink"/>
            <w:lang w:eastAsia="en-AU"/>
          </w:rPr>
          <w:t>Table 17</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LOR1 conditions in SA Region (in the six-year period)</w:t>
        </w:r>
        <w:r w:rsidR="00B57D74">
          <w:rPr>
            <w:webHidden/>
          </w:rPr>
          <w:tab/>
        </w:r>
        <w:r w:rsidR="00B57D74">
          <w:rPr>
            <w:webHidden/>
          </w:rPr>
          <w:fldChar w:fldCharType="begin"/>
        </w:r>
        <w:r w:rsidR="00B57D74">
          <w:rPr>
            <w:webHidden/>
          </w:rPr>
          <w:instrText xml:space="preserve"> PAGEREF _Toc501111533 \h </w:instrText>
        </w:r>
        <w:r w:rsidR="00B57D74">
          <w:rPr>
            <w:webHidden/>
          </w:rPr>
        </w:r>
        <w:r w:rsidR="00B57D74">
          <w:rPr>
            <w:webHidden/>
          </w:rPr>
          <w:fldChar w:fldCharType="separate"/>
        </w:r>
        <w:r w:rsidR="007E4948">
          <w:rPr>
            <w:webHidden/>
          </w:rPr>
          <w:t>25</w:t>
        </w:r>
        <w:r w:rsidR="00B57D74">
          <w:rPr>
            <w:webHidden/>
          </w:rPr>
          <w:fldChar w:fldCharType="end"/>
        </w:r>
      </w:hyperlink>
    </w:p>
    <w:p w14:paraId="0BE87251"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4" w:history="1">
        <w:r w:rsidR="00B57D74" w:rsidRPr="009A6CE2">
          <w:rPr>
            <w:rStyle w:val="Hyperlink"/>
            <w:lang w:eastAsia="en-AU"/>
          </w:rPr>
          <w:t>Table 18</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LOR2 conditions in Vic Region (in the six-year period)</w:t>
        </w:r>
        <w:r w:rsidR="00B57D74">
          <w:rPr>
            <w:webHidden/>
          </w:rPr>
          <w:tab/>
        </w:r>
        <w:r w:rsidR="00B57D74">
          <w:rPr>
            <w:webHidden/>
          </w:rPr>
          <w:fldChar w:fldCharType="begin"/>
        </w:r>
        <w:r w:rsidR="00B57D74">
          <w:rPr>
            <w:webHidden/>
          </w:rPr>
          <w:instrText xml:space="preserve"> PAGEREF _Toc501111534 \h </w:instrText>
        </w:r>
        <w:r w:rsidR="00B57D74">
          <w:rPr>
            <w:webHidden/>
          </w:rPr>
        </w:r>
        <w:r w:rsidR="00B57D74">
          <w:rPr>
            <w:webHidden/>
          </w:rPr>
          <w:fldChar w:fldCharType="separate"/>
        </w:r>
        <w:r w:rsidR="007E4948">
          <w:rPr>
            <w:webHidden/>
          </w:rPr>
          <w:t>25</w:t>
        </w:r>
        <w:r w:rsidR="00B57D74">
          <w:rPr>
            <w:webHidden/>
          </w:rPr>
          <w:fldChar w:fldCharType="end"/>
        </w:r>
      </w:hyperlink>
    </w:p>
    <w:p w14:paraId="6F7653DB"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5" w:history="1">
        <w:r w:rsidR="00B57D74" w:rsidRPr="009A6CE2">
          <w:rPr>
            <w:rStyle w:val="Hyperlink"/>
            <w:lang w:eastAsia="en-AU"/>
          </w:rPr>
          <w:t>Table 19</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LOR2 conditions in Vic Region (in the six-year period)</w:t>
        </w:r>
        <w:r w:rsidR="00B57D74">
          <w:rPr>
            <w:webHidden/>
          </w:rPr>
          <w:tab/>
        </w:r>
        <w:r w:rsidR="00B57D74">
          <w:rPr>
            <w:webHidden/>
          </w:rPr>
          <w:fldChar w:fldCharType="begin"/>
        </w:r>
        <w:r w:rsidR="00B57D74">
          <w:rPr>
            <w:webHidden/>
          </w:rPr>
          <w:instrText xml:space="preserve"> PAGEREF _Toc501111535 \h </w:instrText>
        </w:r>
        <w:r w:rsidR="00B57D74">
          <w:rPr>
            <w:webHidden/>
          </w:rPr>
        </w:r>
        <w:r w:rsidR="00B57D74">
          <w:rPr>
            <w:webHidden/>
          </w:rPr>
          <w:fldChar w:fldCharType="separate"/>
        </w:r>
        <w:r w:rsidR="007E4948">
          <w:rPr>
            <w:webHidden/>
          </w:rPr>
          <w:t>25</w:t>
        </w:r>
        <w:r w:rsidR="00B57D74">
          <w:rPr>
            <w:webHidden/>
          </w:rPr>
          <w:fldChar w:fldCharType="end"/>
        </w:r>
      </w:hyperlink>
    </w:p>
    <w:p w14:paraId="297BEEDF"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6" w:history="1">
        <w:r w:rsidR="00B57D74" w:rsidRPr="009A6CE2">
          <w:rPr>
            <w:rStyle w:val="Hyperlink"/>
            <w:lang w:eastAsia="en-AU"/>
          </w:rPr>
          <w:t>Table 20</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Percentage Increase in forecast  LOR1 conditions in Vic Region (in the six-year period)</w:t>
        </w:r>
        <w:r w:rsidR="00B57D74">
          <w:rPr>
            <w:webHidden/>
          </w:rPr>
          <w:tab/>
        </w:r>
        <w:r w:rsidR="00B57D74">
          <w:rPr>
            <w:webHidden/>
          </w:rPr>
          <w:fldChar w:fldCharType="begin"/>
        </w:r>
        <w:r w:rsidR="00B57D74">
          <w:rPr>
            <w:webHidden/>
          </w:rPr>
          <w:instrText xml:space="preserve"> PAGEREF _Toc501111536 \h </w:instrText>
        </w:r>
        <w:r w:rsidR="00B57D74">
          <w:rPr>
            <w:webHidden/>
          </w:rPr>
        </w:r>
        <w:r w:rsidR="00B57D74">
          <w:rPr>
            <w:webHidden/>
          </w:rPr>
          <w:fldChar w:fldCharType="separate"/>
        </w:r>
        <w:r w:rsidR="007E4948">
          <w:rPr>
            <w:webHidden/>
          </w:rPr>
          <w:t>26</w:t>
        </w:r>
        <w:r w:rsidR="00B57D74">
          <w:rPr>
            <w:webHidden/>
          </w:rPr>
          <w:fldChar w:fldCharType="end"/>
        </w:r>
      </w:hyperlink>
    </w:p>
    <w:p w14:paraId="1287B3A9" w14:textId="77777777" w:rsidR="00B57D74" w:rsidRDefault="00892E93">
      <w:pPr>
        <w:pStyle w:val="TOC6"/>
        <w:rPr>
          <w:rFonts w:asciiTheme="minorHAnsi" w:eastAsiaTheme="minorEastAsia" w:hAnsiTheme="minorHAnsi" w:cstheme="minorBidi"/>
          <w:color w:val="auto"/>
          <w:sz w:val="22"/>
          <w:szCs w:val="22"/>
          <w:lang w:eastAsia="en-AU"/>
        </w:rPr>
      </w:pPr>
      <w:hyperlink w:anchor="_Toc501111537" w:history="1">
        <w:r w:rsidR="00B57D74" w:rsidRPr="009A6CE2">
          <w:rPr>
            <w:rStyle w:val="Hyperlink"/>
            <w:lang w:eastAsia="en-AU"/>
          </w:rPr>
          <w:t>Table 21</w:t>
        </w:r>
        <w:r w:rsidR="00B57D74">
          <w:rPr>
            <w:rFonts w:asciiTheme="minorHAnsi" w:eastAsiaTheme="minorEastAsia" w:hAnsiTheme="minorHAnsi" w:cstheme="minorBidi"/>
            <w:color w:val="auto"/>
            <w:sz w:val="22"/>
            <w:szCs w:val="22"/>
            <w:lang w:eastAsia="en-AU"/>
          </w:rPr>
          <w:tab/>
        </w:r>
        <w:r w:rsidR="00B57D74" w:rsidRPr="009A6CE2">
          <w:rPr>
            <w:rStyle w:val="Hyperlink"/>
            <w:lang w:eastAsia="en-AU"/>
          </w:rPr>
          <w:t>Increase in number TIs with forecast  LOR1 conditions in Vic Region (in the six-year period)</w:t>
        </w:r>
        <w:r w:rsidR="00B57D74">
          <w:rPr>
            <w:webHidden/>
          </w:rPr>
          <w:tab/>
        </w:r>
        <w:r w:rsidR="00B57D74">
          <w:rPr>
            <w:webHidden/>
          </w:rPr>
          <w:fldChar w:fldCharType="begin"/>
        </w:r>
        <w:r w:rsidR="00B57D74">
          <w:rPr>
            <w:webHidden/>
          </w:rPr>
          <w:instrText xml:space="preserve"> PAGEREF _Toc501111537 \h </w:instrText>
        </w:r>
        <w:r w:rsidR="00B57D74">
          <w:rPr>
            <w:webHidden/>
          </w:rPr>
        </w:r>
        <w:r w:rsidR="00B57D74">
          <w:rPr>
            <w:webHidden/>
          </w:rPr>
          <w:fldChar w:fldCharType="separate"/>
        </w:r>
        <w:r w:rsidR="007E4948">
          <w:rPr>
            <w:webHidden/>
          </w:rPr>
          <w:t>26</w:t>
        </w:r>
        <w:r w:rsidR="00B57D74">
          <w:rPr>
            <w:webHidden/>
          </w:rPr>
          <w:fldChar w:fldCharType="end"/>
        </w:r>
      </w:hyperlink>
    </w:p>
    <w:p w14:paraId="4421A5D2" w14:textId="71538AB7" w:rsidR="00E43D1F" w:rsidRPr="00520420" w:rsidRDefault="00C37B3F" w:rsidP="00E43D1F">
      <w:pPr>
        <w:pStyle w:val="BodyText"/>
      </w:pPr>
      <w:r w:rsidRPr="00C37B3F">
        <w:rPr>
          <w:sz w:val="18"/>
          <w:szCs w:val="18"/>
        </w:rPr>
        <w:fldChar w:fldCharType="end"/>
      </w:r>
    </w:p>
    <w:p w14:paraId="005C261A" w14:textId="0B9E70D4" w:rsidR="00520420" w:rsidRPr="00520420" w:rsidRDefault="00520420" w:rsidP="00520420"/>
    <w:p w14:paraId="6A2E6366" w14:textId="77777777" w:rsidR="000F03C7" w:rsidRDefault="000F03C7" w:rsidP="00813A65">
      <w:pPr>
        <w:pStyle w:val="BodyText"/>
      </w:pPr>
    </w:p>
    <w:p w14:paraId="10A8237D" w14:textId="77777777" w:rsidR="00137B19" w:rsidRDefault="00137B19" w:rsidP="006C13DF">
      <w:pPr>
        <w:pStyle w:val="BodyText"/>
        <w:sectPr w:rsidR="00137B19" w:rsidSect="001232F0">
          <w:headerReference w:type="even" r:id="rId26"/>
          <w:headerReference w:type="default" r:id="rId27"/>
          <w:footerReference w:type="even" r:id="rId28"/>
          <w:footerReference w:type="default" r:id="rId29"/>
          <w:pgSz w:w="11906" w:h="16838"/>
          <w:pgMar w:top="1871" w:right="1361" w:bottom="1871" w:left="1361" w:header="1021" w:footer="567" w:gutter="0"/>
          <w:cols w:space="708"/>
          <w:docGrid w:linePitch="360"/>
        </w:sectPr>
      </w:pPr>
    </w:p>
    <w:p w14:paraId="1D6635B3" w14:textId="131FDD45" w:rsidR="004839BB" w:rsidRDefault="0022704A" w:rsidP="008673A3">
      <w:pPr>
        <w:pStyle w:val="Heading1"/>
      </w:pPr>
      <w:bookmarkStart w:id="1" w:name="_Toc501453648"/>
      <w:r>
        <w:t>Stakeholder Consultation Process</w:t>
      </w:r>
      <w:bookmarkEnd w:id="1"/>
    </w:p>
    <w:p w14:paraId="07CE5F04" w14:textId="1954ABC4" w:rsidR="0022704A" w:rsidRDefault="00BE0AB0" w:rsidP="00BE0AB0">
      <w:pPr>
        <w:pStyle w:val="BodyText"/>
      </w:pPr>
      <w:r>
        <w:t xml:space="preserve">AEMO </w:t>
      </w:r>
      <w:r w:rsidR="00E43D1F">
        <w:t xml:space="preserve">has consulted </w:t>
      </w:r>
      <w:r>
        <w:t xml:space="preserve">on </w:t>
      </w:r>
      <w:r w:rsidR="00E43D1F">
        <w:t xml:space="preserve">the </w:t>
      </w:r>
      <w:r>
        <w:t xml:space="preserve">development of the initial </w:t>
      </w:r>
      <w:r w:rsidR="00E43D1F">
        <w:t>Reserve L</w:t>
      </w:r>
      <w:r w:rsidRPr="00E43D1F">
        <w:t xml:space="preserve">evel </w:t>
      </w:r>
      <w:r w:rsidR="00E43D1F">
        <w:t>D</w:t>
      </w:r>
      <w:r w:rsidRPr="00E43D1F">
        <w:t xml:space="preserve">eclaration </w:t>
      </w:r>
      <w:r w:rsidR="00E43D1F">
        <w:t>G</w:t>
      </w:r>
      <w:r w:rsidRPr="00E43D1F">
        <w:t>uidelines</w:t>
      </w:r>
      <w:r w:rsidR="009A0998">
        <w:t xml:space="preserve"> (Guidelines)</w:t>
      </w:r>
      <w:r w:rsidR="00E43D1F">
        <w:t xml:space="preserve">, which </w:t>
      </w:r>
      <w:r w:rsidR="009A0998">
        <w:t>AEMO</w:t>
      </w:r>
      <w:r w:rsidR="00E43D1F">
        <w:t xml:space="preserve"> is required to publish by </w:t>
      </w:r>
      <w:r w:rsidR="004323EB">
        <w:t xml:space="preserve">9 </w:t>
      </w:r>
      <w:r w:rsidR="00E43D1F">
        <w:t>January 2018 under clause 11.103.2 of the NER.</w:t>
      </w:r>
      <w:r>
        <w:t xml:space="preserve"> </w:t>
      </w:r>
    </w:p>
    <w:p w14:paraId="260B2C6A" w14:textId="77777777" w:rsidR="009F5017" w:rsidRDefault="00E43D1F" w:rsidP="00BE0AB0">
      <w:pPr>
        <w:pStyle w:val="BodyText"/>
      </w:pPr>
      <w:r>
        <w:t xml:space="preserve">No consultation requirements are specified in the NER for the first version of the </w:t>
      </w:r>
      <w:r w:rsidR="009A0998">
        <w:t xml:space="preserve">Guidelines. However, AEMO </w:t>
      </w:r>
      <w:r w:rsidR="002244DE">
        <w:t xml:space="preserve">released a draft of the initial Guidelines for </w:t>
      </w:r>
      <w:r w:rsidR="009A0998">
        <w:t>consultation</w:t>
      </w:r>
      <w:r w:rsidR="002244DE">
        <w:t xml:space="preserve"> </w:t>
      </w:r>
      <w:r w:rsidR="009F5017">
        <w:t xml:space="preserve">and invited submissions from interested stakeholders. Those submissions have been considered and AEMO’s responses are set out in this report. </w:t>
      </w:r>
    </w:p>
    <w:p w14:paraId="694A9339" w14:textId="719E0444" w:rsidR="009A0998" w:rsidRDefault="009F5017" w:rsidP="00BE0AB0">
      <w:pPr>
        <w:pStyle w:val="BodyText"/>
      </w:pPr>
      <w:r>
        <w:t>C</w:t>
      </w:r>
      <w:r w:rsidR="009A0998">
        <w:t>lause 4.8.4(e) of the NER</w:t>
      </w:r>
      <w:r w:rsidR="009A0998">
        <w:rPr>
          <w:rStyle w:val="FootnoteReference"/>
        </w:rPr>
        <w:footnoteReference w:id="1"/>
      </w:r>
      <w:r w:rsidR="009A0998">
        <w:t xml:space="preserve"> will apply to</w:t>
      </w:r>
      <w:r>
        <w:t xml:space="preserve"> AEMO’s consultation on</w:t>
      </w:r>
      <w:r w:rsidR="009A0998">
        <w:t xml:space="preserve"> subsequent amendments of </w:t>
      </w:r>
      <w:r w:rsidR="008B16BB">
        <w:br/>
      </w:r>
      <w:r w:rsidR="009A0998">
        <w:t>the Guidelines.</w:t>
      </w:r>
    </w:p>
    <w:p w14:paraId="3A4F0B49" w14:textId="267B30A2" w:rsidR="00E43D1F" w:rsidRPr="00BE0AB0" w:rsidRDefault="00E43D1F" w:rsidP="00BE0AB0">
      <w:pPr>
        <w:pStyle w:val="BodyText"/>
      </w:pPr>
      <w:r>
        <w:t>The table below sets out the consultation steps undertaken by AEMO</w:t>
      </w:r>
      <w:r w:rsidR="009F5017">
        <w:t xml:space="preserve"> for the initial Guidelines</w:t>
      </w:r>
      <w:r>
        <w:t xml:space="preserve">. </w:t>
      </w:r>
    </w:p>
    <w:p w14:paraId="7AEAB582" w14:textId="1E27FEF3" w:rsidR="00BE0AB0" w:rsidRPr="00BE0AB0" w:rsidRDefault="00E43D1F" w:rsidP="003A55CC">
      <w:pPr>
        <w:pStyle w:val="CaptionTable"/>
      </w:pPr>
      <w:bookmarkStart w:id="2" w:name="_Toc501111516"/>
      <w:r>
        <w:t>C</w:t>
      </w:r>
      <w:r w:rsidR="00BE0AB0">
        <w:t>onsultation steps undertaken by AEMO</w:t>
      </w:r>
      <w:bookmarkEnd w:id="2"/>
      <w:r w:rsidR="00BE0AB0">
        <w:t xml:space="preserve"> </w:t>
      </w:r>
    </w:p>
    <w:tbl>
      <w:tblPr>
        <w:tblStyle w:val="AEMOTable"/>
        <w:tblW w:w="4862" w:type="pct"/>
        <w:tblLook w:val="06A0" w:firstRow="1" w:lastRow="0" w:firstColumn="1" w:lastColumn="0" w:noHBand="1" w:noVBand="1"/>
      </w:tblPr>
      <w:tblGrid>
        <w:gridCol w:w="4820"/>
        <w:gridCol w:w="4111"/>
      </w:tblGrid>
      <w:tr w:rsidR="00BE0AB0" w14:paraId="367A2E3C" w14:textId="77777777" w:rsidTr="00BE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94235D6" w14:textId="2166C94B" w:rsidR="00BE0AB0" w:rsidRDefault="00BE0AB0" w:rsidP="004F7C93">
            <w:pPr>
              <w:pStyle w:val="TableTitle"/>
            </w:pPr>
            <w:r>
              <w:t xml:space="preserve">Deliverable </w:t>
            </w:r>
          </w:p>
        </w:tc>
        <w:tc>
          <w:tcPr>
            <w:tcW w:w="4111" w:type="dxa"/>
          </w:tcPr>
          <w:p w14:paraId="1C182517" w14:textId="66BAD859" w:rsidR="00BE0AB0" w:rsidRDefault="00BE0AB0" w:rsidP="004F7C93">
            <w:pPr>
              <w:pStyle w:val="TableTitle"/>
              <w:cnfStyle w:val="100000000000" w:firstRow="1" w:lastRow="0" w:firstColumn="0" w:lastColumn="0" w:oddVBand="0" w:evenVBand="0" w:oddHBand="0" w:evenHBand="0" w:firstRowFirstColumn="0" w:firstRowLastColumn="0" w:lastRowFirstColumn="0" w:lastRowLastColumn="0"/>
            </w:pPr>
            <w:r>
              <w:t xml:space="preserve">Date </w:t>
            </w:r>
          </w:p>
        </w:tc>
      </w:tr>
      <w:tr w:rsidR="002244DE" w14:paraId="3F019EF8" w14:textId="77777777" w:rsidTr="00BE0AB0">
        <w:tc>
          <w:tcPr>
            <w:cnfStyle w:val="001000000000" w:firstRow="0" w:lastRow="0" w:firstColumn="1" w:lastColumn="0" w:oddVBand="0" w:evenVBand="0" w:oddHBand="0" w:evenHBand="0" w:firstRowFirstColumn="0" w:firstRowLastColumn="0" w:lastRowFirstColumn="0" w:lastRowLastColumn="0"/>
            <w:tcW w:w="4820" w:type="dxa"/>
          </w:tcPr>
          <w:p w14:paraId="6E50E74C" w14:textId="4ACD7390" w:rsidR="002244DE" w:rsidRDefault="002244DE" w:rsidP="004F7C93">
            <w:pPr>
              <w:pStyle w:val="TableText"/>
            </w:pPr>
            <w:r>
              <w:t>Stakeholder information teleconference (jointly with AEMC)</w:t>
            </w:r>
          </w:p>
        </w:tc>
        <w:tc>
          <w:tcPr>
            <w:tcW w:w="4111" w:type="dxa"/>
          </w:tcPr>
          <w:p w14:paraId="30C63590" w14:textId="46D746D6" w:rsidR="002244DE" w:rsidRDefault="002244DE" w:rsidP="004F7C93">
            <w:pPr>
              <w:pStyle w:val="TableText"/>
              <w:cnfStyle w:val="000000000000" w:firstRow="0" w:lastRow="0" w:firstColumn="0" w:lastColumn="0" w:oddVBand="0" w:evenVBand="0" w:oddHBand="0" w:evenHBand="0" w:firstRowFirstColumn="0" w:firstRowLastColumn="0" w:lastRowFirstColumn="0" w:lastRowLastColumn="0"/>
            </w:pPr>
            <w:r>
              <w:t>5 October 2017</w:t>
            </w:r>
          </w:p>
        </w:tc>
      </w:tr>
      <w:tr w:rsidR="00BE0AB0" w14:paraId="0562A239" w14:textId="77777777" w:rsidTr="00BE0AB0">
        <w:tc>
          <w:tcPr>
            <w:cnfStyle w:val="001000000000" w:firstRow="0" w:lastRow="0" w:firstColumn="1" w:lastColumn="0" w:oddVBand="0" w:evenVBand="0" w:oddHBand="0" w:evenHBand="0" w:firstRowFirstColumn="0" w:firstRowLastColumn="0" w:lastRowFirstColumn="0" w:lastRowLastColumn="0"/>
            <w:tcW w:w="4820" w:type="dxa"/>
          </w:tcPr>
          <w:p w14:paraId="084C8672" w14:textId="6CA23E5C" w:rsidR="00BE0AB0" w:rsidRDefault="00BE0AB0" w:rsidP="004F7C93">
            <w:pPr>
              <w:pStyle w:val="TableText"/>
            </w:pPr>
            <w:r>
              <w:t xml:space="preserve">Notice of  consultation released </w:t>
            </w:r>
          </w:p>
        </w:tc>
        <w:tc>
          <w:tcPr>
            <w:tcW w:w="4111" w:type="dxa"/>
          </w:tcPr>
          <w:p w14:paraId="7ACE844C" w14:textId="3C30E2EB" w:rsidR="00BE0AB0" w:rsidRPr="00844E8A" w:rsidRDefault="00BE0AB0" w:rsidP="004F7C93">
            <w:pPr>
              <w:pStyle w:val="TableText"/>
              <w:cnfStyle w:val="000000000000" w:firstRow="0" w:lastRow="0" w:firstColumn="0" w:lastColumn="0" w:oddVBand="0" w:evenVBand="0" w:oddHBand="0" w:evenHBand="0" w:firstRowFirstColumn="0" w:firstRowLastColumn="0" w:lastRowFirstColumn="0" w:lastRowLastColumn="0"/>
            </w:pPr>
            <w:r>
              <w:t xml:space="preserve">17 October 2017 </w:t>
            </w:r>
          </w:p>
        </w:tc>
      </w:tr>
      <w:tr w:rsidR="00BE0AB0" w14:paraId="538157C8" w14:textId="77777777" w:rsidTr="00BE0AB0">
        <w:tc>
          <w:tcPr>
            <w:cnfStyle w:val="001000000000" w:firstRow="0" w:lastRow="0" w:firstColumn="1" w:lastColumn="0" w:oddVBand="0" w:evenVBand="0" w:oddHBand="0" w:evenHBand="0" w:firstRowFirstColumn="0" w:firstRowLastColumn="0" w:lastRowFirstColumn="0" w:lastRowLastColumn="0"/>
            <w:tcW w:w="4820" w:type="dxa"/>
          </w:tcPr>
          <w:p w14:paraId="33F61BC8" w14:textId="7F07B30C" w:rsidR="00BE0AB0" w:rsidRDefault="00BE0AB0" w:rsidP="004F7C93">
            <w:pPr>
              <w:pStyle w:val="TableText"/>
            </w:pPr>
            <w:r>
              <w:t xml:space="preserve">Submissions closed </w:t>
            </w:r>
          </w:p>
        </w:tc>
        <w:tc>
          <w:tcPr>
            <w:tcW w:w="4111" w:type="dxa"/>
          </w:tcPr>
          <w:p w14:paraId="03948E8B" w14:textId="0DB2FCAB" w:rsidR="00BE0AB0" w:rsidRPr="00844E8A" w:rsidRDefault="00BE0AB0" w:rsidP="00BE0AB0">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 xml:space="preserve">20 November 2017 </w:t>
            </w:r>
            <w:r>
              <w:rPr>
                <w:rStyle w:val="FootnoteReference"/>
              </w:rPr>
              <w:footnoteReference w:id="2"/>
            </w:r>
          </w:p>
        </w:tc>
      </w:tr>
      <w:tr w:rsidR="00BE0AB0" w14:paraId="091F6273" w14:textId="77777777" w:rsidTr="00BE0AB0">
        <w:tc>
          <w:tcPr>
            <w:cnfStyle w:val="001000000000" w:firstRow="0" w:lastRow="0" w:firstColumn="1" w:lastColumn="0" w:oddVBand="0" w:evenVBand="0" w:oddHBand="0" w:evenHBand="0" w:firstRowFirstColumn="0" w:firstRowLastColumn="0" w:lastRowFirstColumn="0" w:lastRowLastColumn="0"/>
            <w:tcW w:w="4820" w:type="dxa"/>
          </w:tcPr>
          <w:p w14:paraId="24116807" w14:textId="2693D363" w:rsidR="00BE0AB0" w:rsidRDefault="00BE0AB0" w:rsidP="009A0998">
            <w:pPr>
              <w:pStyle w:val="TableText"/>
            </w:pPr>
            <w:r>
              <w:t>Report</w:t>
            </w:r>
            <w:r w:rsidR="009A0998">
              <w:t xml:space="preserve"> and Guidelines p</w:t>
            </w:r>
            <w:r>
              <w:t xml:space="preserve">ublished </w:t>
            </w:r>
          </w:p>
        </w:tc>
        <w:tc>
          <w:tcPr>
            <w:tcW w:w="4111" w:type="dxa"/>
          </w:tcPr>
          <w:p w14:paraId="4AD09C40" w14:textId="36E822F0" w:rsidR="00BE0AB0" w:rsidRDefault="004323EB" w:rsidP="00683982">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4323EB">
              <w:t xml:space="preserve">20 </w:t>
            </w:r>
            <w:r w:rsidR="00BE0AB0" w:rsidRPr="004323EB">
              <w:t>December 2017</w:t>
            </w:r>
            <w:r w:rsidR="00BE0AB0">
              <w:t xml:space="preserve"> </w:t>
            </w:r>
          </w:p>
        </w:tc>
      </w:tr>
    </w:tbl>
    <w:p w14:paraId="356D40F7" w14:textId="77777777" w:rsidR="008B16BB" w:rsidRDefault="008B16BB" w:rsidP="004323EB">
      <w:pPr>
        <w:pStyle w:val="TableFootnote"/>
      </w:pPr>
    </w:p>
    <w:p w14:paraId="26A78DD9" w14:textId="77777777" w:rsidR="009A0998" w:rsidRDefault="009A0998" w:rsidP="00CF287F">
      <w:pPr>
        <w:pStyle w:val="BodyText"/>
      </w:pPr>
      <w:r>
        <w:t xml:space="preserve">The publication of this report concludes AEMO’s consultation. </w:t>
      </w:r>
    </w:p>
    <w:p w14:paraId="7526CBD9" w14:textId="7AAB455D" w:rsidR="00893A95" w:rsidRDefault="009A0998" w:rsidP="00CF287F">
      <w:pPr>
        <w:pStyle w:val="BodyText"/>
      </w:pPr>
      <w:r>
        <w:t>A glossary of terms used in this report is included at Appendix A.</w:t>
      </w:r>
    </w:p>
    <w:p w14:paraId="221796EB" w14:textId="00557025" w:rsidR="008D7F14" w:rsidRDefault="008D7F14" w:rsidP="008D7F14">
      <w:pPr>
        <w:pStyle w:val="Heading1"/>
      </w:pPr>
      <w:bookmarkStart w:id="3" w:name="_Toc501453649"/>
      <w:r>
        <w:t>Background</w:t>
      </w:r>
      <w:bookmarkEnd w:id="3"/>
      <w:r>
        <w:t xml:space="preserve"> </w:t>
      </w:r>
    </w:p>
    <w:p w14:paraId="6C672A08" w14:textId="7EC3B06A" w:rsidR="004E7294" w:rsidRDefault="008D7F14" w:rsidP="008673A3">
      <w:pPr>
        <w:pStyle w:val="Heading2"/>
      </w:pPr>
      <w:bookmarkStart w:id="4" w:name="_Toc501453650"/>
      <w:r>
        <w:t>NER requirements</w:t>
      </w:r>
      <w:bookmarkEnd w:id="4"/>
    </w:p>
    <w:p w14:paraId="7E6FA58A" w14:textId="4C89FB4A" w:rsidR="008D7F14" w:rsidRPr="00BE0AB0" w:rsidRDefault="00BE0AB0" w:rsidP="00BE0AB0">
      <w:pPr>
        <w:pStyle w:val="BodyText"/>
      </w:pPr>
      <w:r w:rsidRPr="00BE0AB0">
        <w:t>The</w:t>
      </w:r>
      <w:r w:rsidR="008217B9">
        <w:t xml:space="preserve"> initial </w:t>
      </w:r>
      <w:r w:rsidR="002073A3">
        <w:t xml:space="preserve">version of the </w:t>
      </w:r>
      <w:r w:rsidR="008217B9" w:rsidRPr="00BE0AB0">
        <w:t>Guidelines</w:t>
      </w:r>
      <w:r w:rsidRPr="00BE0AB0">
        <w:t xml:space="preserve"> </w:t>
      </w:r>
      <w:r w:rsidR="002073A3">
        <w:t xml:space="preserve">is to be </w:t>
      </w:r>
      <w:r w:rsidRPr="00BE0AB0">
        <w:t xml:space="preserve">made </w:t>
      </w:r>
      <w:r w:rsidR="002073A3">
        <w:t xml:space="preserve">by AEMO </w:t>
      </w:r>
      <w:r w:rsidRPr="00BE0AB0">
        <w:t xml:space="preserve">under </w:t>
      </w:r>
      <w:r w:rsidR="002073A3">
        <w:t>c</w:t>
      </w:r>
      <w:r w:rsidRPr="00BE0AB0">
        <w:t xml:space="preserve">lause 11.103.2 of the </w:t>
      </w:r>
      <w:r w:rsidR="002073A3">
        <w:t xml:space="preserve">NER </w:t>
      </w:r>
      <w:r w:rsidR="002073A3" w:rsidRPr="004323EB">
        <w:t xml:space="preserve">by </w:t>
      </w:r>
      <w:r w:rsidR="008B16BB" w:rsidRPr="004323EB">
        <w:br/>
      </w:r>
      <w:r w:rsidR="004323EB" w:rsidRPr="004323EB">
        <w:t>9</w:t>
      </w:r>
      <w:r w:rsidR="002073A3" w:rsidRPr="004323EB">
        <w:t xml:space="preserve"> January 2018</w:t>
      </w:r>
      <w:r w:rsidR="008217B9" w:rsidRPr="004323EB">
        <w:rPr>
          <w:i/>
        </w:rPr>
        <w:t>.</w:t>
      </w:r>
      <w:r w:rsidR="008217B9">
        <w:rPr>
          <w:i/>
        </w:rPr>
        <w:t xml:space="preserve"> </w:t>
      </w:r>
      <w:r w:rsidR="008217B9">
        <w:t>The</w:t>
      </w:r>
      <w:r w:rsidR="002073A3">
        <w:t xml:space="preserve"> Guidelines</w:t>
      </w:r>
      <w:r w:rsidR="008217B9">
        <w:t xml:space="preserve"> outline how AEMO will implement the requirements of </w:t>
      </w:r>
      <w:r w:rsidR="006329C7">
        <w:t>c</w:t>
      </w:r>
      <w:r w:rsidR="008217B9">
        <w:t xml:space="preserve">lause 4.8.4A of the </w:t>
      </w:r>
      <w:r w:rsidR="002073A3">
        <w:t>NER</w:t>
      </w:r>
      <w:r w:rsidR="008217B9">
        <w:t>.</w:t>
      </w:r>
      <w:r w:rsidRPr="00BE0AB0">
        <w:t xml:space="preserve"> </w:t>
      </w:r>
    </w:p>
    <w:p w14:paraId="1ACDFCDA" w14:textId="2637508D" w:rsidR="008D7F14" w:rsidRPr="008D7F14" w:rsidRDefault="008D7F14" w:rsidP="008D7F14">
      <w:pPr>
        <w:pStyle w:val="Heading2"/>
      </w:pPr>
      <w:bookmarkStart w:id="5" w:name="_Toc501453651"/>
      <w:r>
        <w:t xml:space="preserve">Context </w:t>
      </w:r>
      <w:r w:rsidR="002073A3">
        <w:t>for</w:t>
      </w:r>
      <w:r>
        <w:t xml:space="preserve"> this consultation</w:t>
      </w:r>
      <w:bookmarkEnd w:id="5"/>
    </w:p>
    <w:p w14:paraId="4CC46BD1" w14:textId="38EBC124" w:rsidR="005D22B4" w:rsidRDefault="008217B9" w:rsidP="008217B9">
      <w:pPr>
        <w:pStyle w:val="BodyText"/>
      </w:pPr>
      <w:r>
        <w:t xml:space="preserve">The AEMC has made </w:t>
      </w:r>
      <w:r w:rsidR="006C080B">
        <w:t xml:space="preserve">a Rule that promotes short-term reliability in the NEM. </w:t>
      </w:r>
      <w:r w:rsidR="002073A3">
        <w:t xml:space="preserve">The </w:t>
      </w:r>
      <w:r w:rsidR="002073A3" w:rsidRPr="009A0998">
        <w:rPr>
          <w:i/>
        </w:rPr>
        <w:t>National Electricity Amendment (Declaration of lack of reserve conditions) Rule 2017</w:t>
      </w:r>
      <w:r w:rsidR="002073A3">
        <w:t xml:space="preserve"> </w:t>
      </w:r>
      <w:r w:rsidR="006329C7">
        <w:t xml:space="preserve">(Rule) </w:t>
      </w:r>
      <w:r w:rsidR="002073A3">
        <w:t>modifies</w:t>
      </w:r>
      <w:r w:rsidR="006C080B">
        <w:t xml:space="preserve"> the existing framework for declaration of lack of reserve (LOR) conditions to </w:t>
      </w:r>
      <w:r w:rsidR="002073A3">
        <w:t>make the criteria and process</w:t>
      </w:r>
      <w:r w:rsidR="006C080B">
        <w:t xml:space="preserve"> more flexible, sophisticated and transparent. The declaration of LORs is a key way </w:t>
      </w:r>
      <w:r w:rsidR="002073A3">
        <w:t xml:space="preserve">for AEMO to inform </w:t>
      </w:r>
      <w:r w:rsidR="006C080B">
        <w:t xml:space="preserve">the market of potential </w:t>
      </w:r>
      <w:r w:rsidR="002073A3">
        <w:t xml:space="preserve">reserve shortfalls </w:t>
      </w:r>
      <w:r w:rsidR="006C080B">
        <w:t xml:space="preserve">in the NEM and to seek a market response </w:t>
      </w:r>
      <w:r w:rsidR="006329C7">
        <w:t>in time to avoid the need for direct intervention</w:t>
      </w:r>
      <w:r w:rsidR="006C080B">
        <w:t xml:space="preserve">. </w:t>
      </w:r>
    </w:p>
    <w:p w14:paraId="0029AC11" w14:textId="626B65C0" w:rsidR="006C080B" w:rsidRDefault="006C080B" w:rsidP="008217B9">
      <w:pPr>
        <w:pStyle w:val="BodyText"/>
      </w:pPr>
      <w:r>
        <w:t>The Rule introduces a more flexible way for AEMO to declare LORs, allowing AEMO to move from the current contingency</w:t>
      </w:r>
      <w:r w:rsidR="002073A3">
        <w:t>-</w:t>
      </w:r>
      <w:r>
        <w:t>based deterministic approach, to one that is probabilistic. This will enable AEMO to take into account all relevant risk factors that could affect reserve levels</w:t>
      </w:r>
      <w:r w:rsidR="00FD310F">
        <w:t xml:space="preserve">, </w:t>
      </w:r>
      <w:r>
        <w:t xml:space="preserve">to more accurately </w:t>
      </w:r>
      <w:r w:rsidR="00FD310F">
        <w:t xml:space="preserve">forecast </w:t>
      </w:r>
      <w:r w:rsidR="00745556">
        <w:t xml:space="preserve">the risk of involuntary load shedding. </w:t>
      </w:r>
    </w:p>
    <w:p w14:paraId="1B483703" w14:textId="294FD6F6" w:rsidR="00745556" w:rsidRPr="006329C7" w:rsidRDefault="00745556" w:rsidP="008217B9">
      <w:pPr>
        <w:pStyle w:val="BodyText"/>
      </w:pPr>
      <w:r w:rsidRPr="006329C7">
        <w:t>Under this Rule</w:t>
      </w:r>
      <w:r w:rsidR="008B16BB">
        <w:t>,</w:t>
      </w:r>
      <w:r w:rsidRPr="006329C7">
        <w:t xml:space="preserve"> AEMO is required to make and publish guidelines as to how AEMO will determine LORs. These reserve level declaration guidelines </w:t>
      </w:r>
      <w:r w:rsidR="002244DE">
        <w:t>are</w:t>
      </w:r>
      <w:r w:rsidRPr="006329C7">
        <w:t xml:space="preserve"> required to</w:t>
      </w:r>
      <w:r w:rsidR="002244DE">
        <w:t>:</w:t>
      </w:r>
      <w:r w:rsidRPr="006329C7">
        <w:t xml:space="preserve"> </w:t>
      </w:r>
    </w:p>
    <w:p w14:paraId="6676D1B4" w14:textId="651E671A" w:rsidR="00745556" w:rsidRPr="006329C7" w:rsidRDefault="002244DE" w:rsidP="0046618F">
      <w:pPr>
        <w:pStyle w:val="ListBullet"/>
      </w:pPr>
      <w:r>
        <w:t>D</w:t>
      </w:r>
      <w:r w:rsidR="00745556" w:rsidRPr="006329C7">
        <w:t>escribe how AEMO continually assesses the probability of capacity reserves to be insufficient to avoid involuntary load shedding given reasonably foreseeable conditions and events</w:t>
      </w:r>
      <w:r>
        <w:t>.</w:t>
      </w:r>
      <w:r w:rsidR="00745556" w:rsidRPr="006329C7">
        <w:t xml:space="preserve"> </w:t>
      </w:r>
    </w:p>
    <w:p w14:paraId="7502F044" w14:textId="79C3C2D2" w:rsidR="00745556" w:rsidRPr="006329C7" w:rsidRDefault="002244DE" w:rsidP="0046618F">
      <w:pPr>
        <w:pStyle w:val="ListBullet"/>
      </w:pPr>
      <w:r>
        <w:t>D</w:t>
      </w:r>
      <w:r w:rsidR="00745556" w:rsidRPr="006329C7">
        <w:t>escribe how this probability assessment applies in relati</w:t>
      </w:r>
      <w:r>
        <w:t>on to different periods of time.</w:t>
      </w:r>
    </w:p>
    <w:p w14:paraId="23DE1C36" w14:textId="71E52A73" w:rsidR="00745556" w:rsidRPr="006329C7" w:rsidRDefault="002244DE" w:rsidP="0046618F">
      <w:pPr>
        <w:pStyle w:val="ListBullet"/>
      </w:pPr>
      <w:r>
        <w:t>S</w:t>
      </w:r>
      <w:r w:rsidR="00745556" w:rsidRPr="006329C7">
        <w:t>pecify at least three probability levels at which AEMO will declare lack of reserve conditions.</w:t>
      </w:r>
    </w:p>
    <w:p w14:paraId="7B073397" w14:textId="34F2D344" w:rsidR="00CF5B6E" w:rsidRPr="006329C7" w:rsidRDefault="00CF5B6E" w:rsidP="00CF5B6E">
      <w:pPr>
        <w:pStyle w:val="Heading2"/>
      </w:pPr>
      <w:bookmarkStart w:id="6" w:name="_Toc501453652"/>
      <w:r w:rsidRPr="006329C7">
        <w:t>Consultation process</w:t>
      </w:r>
      <w:bookmarkEnd w:id="6"/>
    </w:p>
    <w:p w14:paraId="6AF04225" w14:textId="66257B6C" w:rsidR="007B75A1" w:rsidRPr="006329C7" w:rsidRDefault="007B75A1" w:rsidP="00745556">
      <w:pPr>
        <w:pStyle w:val="BodyText"/>
      </w:pPr>
      <w:r w:rsidRPr="006329C7">
        <w:t xml:space="preserve">AEMO is not required to consult in the making of the initial </w:t>
      </w:r>
      <w:r w:rsidR="00FD310F">
        <w:t>G</w:t>
      </w:r>
      <w:r w:rsidRPr="006329C7">
        <w:t>uidelines</w:t>
      </w:r>
      <w:r w:rsidR="00FD310F">
        <w:t>,</w:t>
      </w:r>
      <w:r w:rsidRPr="006329C7">
        <w:t xml:space="preserve"> but chose to follow the abbreviated consultation process set out in clause 4.8.4A(e),</w:t>
      </w:r>
      <w:r w:rsidR="002179A4">
        <w:t xml:space="preserve"> </w:t>
      </w:r>
      <w:r w:rsidRPr="006329C7">
        <w:t>as far as p</w:t>
      </w:r>
      <w:r w:rsidR="00FD310F">
        <w:t>ractical</w:t>
      </w:r>
      <w:r w:rsidRPr="006329C7">
        <w:t xml:space="preserve">, in developing the </w:t>
      </w:r>
      <w:r w:rsidR="008B16BB">
        <w:br/>
      </w:r>
      <w:r w:rsidRPr="006329C7">
        <w:t xml:space="preserve">initial version. </w:t>
      </w:r>
    </w:p>
    <w:p w14:paraId="5E5318FF" w14:textId="38351009" w:rsidR="00CF5B6E" w:rsidRPr="006329C7" w:rsidRDefault="00745556" w:rsidP="00745556">
      <w:pPr>
        <w:pStyle w:val="BodyText"/>
      </w:pPr>
      <w:r w:rsidRPr="006329C7">
        <w:t xml:space="preserve">AEMO issued a Notice of Consultation on 17 October 2017 along with a first draft of the initial Guidelines. </w:t>
      </w:r>
      <w:r w:rsidR="00FD310F">
        <w:t>The c</w:t>
      </w:r>
      <w:r w:rsidR="007B75A1" w:rsidRPr="006329C7">
        <w:t>losing date was initially set as 14 November 2017</w:t>
      </w:r>
      <w:r w:rsidR="008B16BB">
        <w:t>,</w:t>
      </w:r>
      <w:r w:rsidR="007B75A1" w:rsidRPr="006329C7">
        <w:t xml:space="preserve"> but was subsequently extended </w:t>
      </w:r>
      <w:r w:rsidR="008B16BB">
        <w:br/>
      </w:r>
      <w:r w:rsidR="007B75A1" w:rsidRPr="006329C7">
        <w:t xml:space="preserve">to 20 </w:t>
      </w:r>
      <w:r w:rsidR="00960075" w:rsidRPr="006329C7">
        <w:t>November 2017. AEMO received two</w:t>
      </w:r>
      <w:r w:rsidR="007B75A1" w:rsidRPr="006329C7">
        <w:t xml:space="preserve"> submission</w:t>
      </w:r>
      <w:r w:rsidR="00960075" w:rsidRPr="006329C7">
        <w:t>s</w:t>
      </w:r>
      <w:r w:rsidR="00FD310F">
        <w:t>,</w:t>
      </w:r>
      <w:r w:rsidR="007B75A1" w:rsidRPr="006329C7">
        <w:t xml:space="preserve"> which ha</w:t>
      </w:r>
      <w:r w:rsidR="00FD310F">
        <w:t>ve</w:t>
      </w:r>
      <w:r w:rsidR="007B75A1" w:rsidRPr="006329C7">
        <w:t xml:space="preserve"> been published on the </w:t>
      </w:r>
      <w:r w:rsidR="008B16BB">
        <w:br/>
      </w:r>
      <w:r w:rsidR="007B75A1" w:rsidRPr="006329C7">
        <w:t>AEMO website</w:t>
      </w:r>
      <w:r w:rsidR="005A4C61">
        <w:t>.</w:t>
      </w:r>
      <w:r w:rsidR="007B75A1" w:rsidRPr="006329C7">
        <w:t xml:space="preserve"> </w:t>
      </w:r>
    </w:p>
    <w:p w14:paraId="734D1D32" w14:textId="529E1407" w:rsidR="007B75A1" w:rsidRPr="006329C7" w:rsidRDefault="007B75A1" w:rsidP="00745556">
      <w:pPr>
        <w:pStyle w:val="BodyText"/>
        <w:rPr>
          <w:b/>
        </w:rPr>
      </w:pPr>
    </w:p>
    <w:p w14:paraId="7FEC356E" w14:textId="77777777" w:rsidR="00CF5B6E" w:rsidRDefault="00CF5B6E" w:rsidP="00CF5B6E">
      <w:pPr>
        <w:pStyle w:val="BodyText"/>
        <w:rPr>
          <w:color w:val="FF0000"/>
        </w:rPr>
      </w:pPr>
    </w:p>
    <w:p w14:paraId="23CAC87B" w14:textId="04AC4D1D" w:rsidR="00CF5B6E" w:rsidRDefault="00CF5B6E" w:rsidP="00CF5B6E">
      <w:pPr>
        <w:pStyle w:val="Heading1"/>
      </w:pPr>
      <w:bookmarkStart w:id="7" w:name="_Toc501453653"/>
      <w:r>
        <w:t>Summary of material Issues</w:t>
      </w:r>
      <w:bookmarkEnd w:id="7"/>
      <w:r>
        <w:t xml:space="preserve"> </w:t>
      </w:r>
    </w:p>
    <w:p w14:paraId="50492D26" w14:textId="46FCCC9B" w:rsidR="008B16BB" w:rsidRDefault="007B75A1" w:rsidP="007B75A1">
      <w:pPr>
        <w:pStyle w:val="BodyText"/>
      </w:pPr>
      <w:r>
        <w:t xml:space="preserve">The key material issues arising from the </w:t>
      </w:r>
      <w:r w:rsidR="00FD310F">
        <w:t xml:space="preserve">submissions and AEMO’s continuing data analysis and process </w:t>
      </w:r>
      <w:r>
        <w:t>development were as follows</w:t>
      </w:r>
      <w:r w:rsidR="008B16BB">
        <w:t>.</w:t>
      </w:r>
    </w:p>
    <w:p w14:paraId="39ACC0E0" w14:textId="5276B387" w:rsidR="007B75A1" w:rsidRPr="007B75A1" w:rsidRDefault="008B16BB" w:rsidP="0046618F">
      <w:pPr>
        <w:pStyle w:val="CaptionTable"/>
      </w:pPr>
      <w:bookmarkStart w:id="8" w:name="_Toc501111517"/>
      <w:r>
        <w:t>Summary of material issues</w:t>
      </w:r>
      <w:bookmarkEnd w:id="8"/>
      <w:r>
        <w:t xml:space="preserve"> </w:t>
      </w:r>
    </w:p>
    <w:tbl>
      <w:tblPr>
        <w:tblStyle w:val="AEMOTable"/>
        <w:tblW w:w="5000" w:type="pct"/>
        <w:tblLook w:val="06A0" w:firstRow="1" w:lastRow="0" w:firstColumn="1" w:lastColumn="0" w:noHBand="1" w:noVBand="1"/>
      </w:tblPr>
      <w:tblGrid>
        <w:gridCol w:w="993"/>
        <w:gridCol w:w="6201"/>
        <w:gridCol w:w="1990"/>
      </w:tblGrid>
      <w:tr w:rsidR="007B75A1" w14:paraId="2D1C6EAB" w14:textId="77777777" w:rsidTr="003B6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A7F8F20" w14:textId="39A64EB1" w:rsidR="007B75A1" w:rsidRDefault="007B75A1" w:rsidP="004F7C93">
            <w:pPr>
              <w:pStyle w:val="TableTitle"/>
            </w:pPr>
            <w:r>
              <w:t>No.</w:t>
            </w:r>
          </w:p>
        </w:tc>
        <w:tc>
          <w:tcPr>
            <w:tcW w:w="6201" w:type="dxa"/>
          </w:tcPr>
          <w:p w14:paraId="6AA2B5AF" w14:textId="06347DFA" w:rsidR="007B75A1" w:rsidRDefault="007B75A1" w:rsidP="004F7C93">
            <w:pPr>
              <w:pStyle w:val="TableTitle"/>
              <w:cnfStyle w:val="100000000000" w:firstRow="1" w:lastRow="0" w:firstColumn="0" w:lastColumn="0" w:oddVBand="0" w:evenVBand="0" w:oddHBand="0" w:evenHBand="0" w:firstRowFirstColumn="0" w:firstRowLastColumn="0" w:lastRowFirstColumn="0" w:lastRowLastColumn="0"/>
            </w:pPr>
            <w:r>
              <w:t xml:space="preserve">Issue </w:t>
            </w:r>
          </w:p>
        </w:tc>
        <w:tc>
          <w:tcPr>
            <w:tcW w:w="1990" w:type="dxa"/>
          </w:tcPr>
          <w:p w14:paraId="7F20EC76" w14:textId="6DDA50B7" w:rsidR="007B75A1" w:rsidRDefault="007B75A1" w:rsidP="004F7C93">
            <w:pPr>
              <w:pStyle w:val="TableTitle"/>
              <w:cnfStyle w:val="100000000000" w:firstRow="1" w:lastRow="0" w:firstColumn="0" w:lastColumn="0" w:oddVBand="0" w:evenVBand="0" w:oddHBand="0" w:evenHBand="0" w:firstRowFirstColumn="0" w:firstRowLastColumn="0" w:lastRowFirstColumn="0" w:lastRowLastColumn="0"/>
            </w:pPr>
            <w:r>
              <w:t xml:space="preserve">Raised by </w:t>
            </w:r>
          </w:p>
        </w:tc>
      </w:tr>
      <w:tr w:rsidR="007B75A1" w14:paraId="4050A84F" w14:textId="77777777" w:rsidTr="00B103B4">
        <w:tc>
          <w:tcPr>
            <w:cnfStyle w:val="001000000000" w:firstRow="0" w:lastRow="0" w:firstColumn="1" w:lastColumn="0" w:oddVBand="0" w:evenVBand="0" w:oddHBand="0" w:evenHBand="0" w:firstRowFirstColumn="0" w:firstRowLastColumn="0" w:lastRowFirstColumn="0" w:lastRowLastColumn="0"/>
            <w:tcW w:w="993" w:type="dxa"/>
            <w:vAlign w:val="center"/>
          </w:tcPr>
          <w:p w14:paraId="36CE5D14" w14:textId="51D78903" w:rsidR="007B75A1" w:rsidRDefault="007B75A1" w:rsidP="00B103B4">
            <w:pPr>
              <w:pStyle w:val="TableText"/>
              <w:numPr>
                <w:ilvl w:val="0"/>
                <w:numId w:val="33"/>
              </w:numPr>
            </w:pPr>
          </w:p>
        </w:tc>
        <w:tc>
          <w:tcPr>
            <w:tcW w:w="6201" w:type="dxa"/>
          </w:tcPr>
          <w:p w14:paraId="25D5A2A2" w14:textId="0DB63555" w:rsidR="007B75A1" w:rsidRPr="00844E8A" w:rsidRDefault="007B75A1" w:rsidP="002848FF">
            <w:pPr>
              <w:pStyle w:val="TableText"/>
              <w:jc w:val="both"/>
              <w:cnfStyle w:val="000000000000" w:firstRow="0" w:lastRow="0" w:firstColumn="0" w:lastColumn="0" w:oddVBand="0" w:evenVBand="0" w:oddHBand="0" w:evenHBand="0" w:firstRowFirstColumn="0" w:firstRowLastColumn="0" w:lastRowFirstColumn="0" w:lastRowLastColumn="0"/>
            </w:pPr>
            <w:r>
              <w:t xml:space="preserve">How non-scheduled generating units are taken into account in the process </w:t>
            </w:r>
          </w:p>
        </w:tc>
        <w:tc>
          <w:tcPr>
            <w:tcW w:w="1990" w:type="dxa"/>
          </w:tcPr>
          <w:p w14:paraId="0FCCD694" w14:textId="581684A9" w:rsidR="007B75A1" w:rsidRDefault="007B75A1" w:rsidP="004F7C93">
            <w:pPr>
              <w:pStyle w:val="TableText"/>
              <w:cnfStyle w:val="000000000000" w:firstRow="0" w:lastRow="0" w:firstColumn="0" w:lastColumn="0" w:oddVBand="0" w:evenVBand="0" w:oddHBand="0" w:evenHBand="0" w:firstRowFirstColumn="0" w:firstRowLastColumn="0" w:lastRowFirstColumn="0" w:lastRowLastColumn="0"/>
            </w:pPr>
            <w:r>
              <w:t>ERM Power</w:t>
            </w:r>
          </w:p>
        </w:tc>
      </w:tr>
      <w:tr w:rsidR="002848FF" w14:paraId="4B864FF0"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7BA0C54D" w14:textId="54B029AE" w:rsidR="002848FF" w:rsidRDefault="002848FF" w:rsidP="00B103B4">
            <w:pPr>
              <w:pStyle w:val="TableText"/>
              <w:numPr>
                <w:ilvl w:val="0"/>
                <w:numId w:val="33"/>
              </w:numPr>
            </w:pPr>
          </w:p>
        </w:tc>
        <w:tc>
          <w:tcPr>
            <w:tcW w:w="6201" w:type="dxa"/>
          </w:tcPr>
          <w:p w14:paraId="61BE0299" w14:textId="053BE024" w:rsidR="002848FF" w:rsidRDefault="00FD310F" w:rsidP="00FD310F">
            <w:pPr>
              <w:pStyle w:val="TableText"/>
              <w:jc w:val="both"/>
              <w:cnfStyle w:val="000000000000" w:firstRow="0" w:lastRow="0" w:firstColumn="0" w:lastColumn="0" w:oddVBand="0" w:evenVBand="0" w:oddHBand="0" w:evenHBand="0" w:firstRowFirstColumn="0" w:firstRowLastColumn="0" w:lastRowFirstColumn="0" w:lastRowLastColumn="0"/>
            </w:pPr>
            <w:r>
              <w:t>D</w:t>
            </w:r>
            <w:r w:rsidR="002848FF">
              <w:t xml:space="preserve">etails of input assumptions and basis upon which input assumptions have been derived </w:t>
            </w:r>
          </w:p>
        </w:tc>
        <w:tc>
          <w:tcPr>
            <w:tcW w:w="1990" w:type="dxa"/>
          </w:tcPr>
          <w:p w14:paraId="51768983" w14:textId="3F91D6DB" w:rsidR="002848FF" w:rsidRDefault="002848FF" w:rsidP="002848FF">
            <w:pPr>
              <w:pStyle w:val="TableText"/>
              <w:cnfStyle w:val="000000000000" w:firstRow="0" w:lastRow="0" w:firstColumn="0" w:lastColumn="0" w:oddVBand="0" w:evenVBand="0" w:oddHBand="0" w:evenHBand="0" w:firstRowFirstColumn="0" w:firstRowLastColumn="0" w:lastRowFirstColumn="0" w:lastRowLastColumn="0"/>
            </w:pPr>
            <w:r w:rsidRPr="000C0598">
              <w:t>ERM Power</w:t>
            </w:r>
          </w:p>
        </w:tc>
      </w:tr>
      <w:tr w:rsidR="00850403" w14:paraId="3105B78F"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03297361" w14:textId="77777777" w:rsidR="00850403" w:rsidRDefault="00850403" w:rsidP="00B103B4">
            <w:pPr>
              <w:pStyle w:val="TableText"/>
              <w:numPr>
                <w:ilvl w:val="0"/>
                <w:numId w:val="33"/>
              </w:numPr>
            </w:pPr>
          </w:p>
        </w:tc>
        <w:tc>
          <w:tcPr>
            <w:tcW w:w="6201" w:type="dxa"/>
          </w:tcPr>
          <w:p w14:paraId="683BFA1F" w14:textId="474947A1" w:rsidR="00850403" w:rsidRDefault="00850403" w:rsidP="00FD310F">
            <w:pPr>
              <w:pStyle w:val="TableText"/>
              <w:jc w:val="both"/>
              <w:cnfStyle w:val="000000000000" w:firstRow="0" w:lastRow="0" w:firstColumn="0" w:lastColumn="0" w:oddVBand="0" w:evenVBand="0" w:oddHBand="0" w:evenHBand="0" w:firstRowFirstColumn="0" w:firstRowLastColumn="0" w:lastRowFirstColumn="0" w:lastRowLastColumn="0"/>
            </w:pPr>
            <w:r>
              <w:t>Updating details of input data used for Bayesian Belief Network (BBN) for training and sensitivity analysis</w:t>
            </w:r>
          </w:p>
        </w:tc>
        <w:tc>
          <w:tcPr>
            <w:tcW w:w="1990" w:type="dxa"/>
          </w:tcPr>
          <w:p w14:paraId="5FF765B5" w14:textId="3720FB01" w:rsidR="00850403" w:rsidRPr="000C0598" w:rsidRDefault="00850403" w:rsidP="002848FF">
            <w:pPr>
              <w:pStyle w:val="TableText"/>
              <w:cnfStyle w:val="000000000000" w:firstRow="0" w:lastRow="0" w:firstColumn="0" w:lastColumn="0" w:oddVBand="0" w:evenVBand="0" w:oddHBand="0" w:evenHBand="0" w:firstRowFirstColumn="0" w:firstRowLastColumn="0" w:lastRowFirstColumn="0" w:lastRowLastColumn="0"/>
            </w:pPr>
            <w:r>
              <w:t>AEMO</w:t>
            </w:r>
          </w:p>
        </w:tc>
      </w:tr>
      <w:tr w:rsidR="00850403" w14:paraId="7B4E0284"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06FA527D" w14:textId="77777777" w:rsidR="00850403" w:rsidRDefault="00850403" w:rsidP="00B103B4">
            <w:pPr>
              <w:pStyle w:val="TableText"/>
              <w:numPr>
                <w:ilvl w:val="0"/>
                <w:numId w:val="33"/>
              </w:numPr>
            </w:pPr>
          </w:p>
        </w:tc>
        <w:tc>
          <w:tcPr>
            <w:tcW w:w="6201" w:type="dxa"/>
          </w:tcPr>
          <w:p w14:paraId="4C3B2986" w14:textId="1A608650" w:rsidR="00850403" w:rsidRDefault="00AD6F0F" w:rsidP="00AD6F0F">
            <w:pPr>
              <w:pStyle w:val="TableText"/>
              <w:jc w:val="both"/>
              <w:cnfStyle w:val="000000000000" w:firstRow="0" w:lastRow="0" w:firstColumn="0" w:lastColumn="0" w:oddVBand="0" w:evenVBand="0" w:oddHBand="0" w:evenHBand="0" w:firstRowFirstColumn="0" w:firstRowLastColumn="0" w:lastRowFirstColumn="0" w:lastRowLastColumn="0"/>
            </w:pPr>
            <w:r>
              <w:t xml:space="preserve">Additional analysis and examples of error distribution </w:t>
            </w:r>
          </w:p>
        </w:tc>
        <w:tc>
          <w:tcPr>
            <w:tcW w:w="1990" w:type="dxa"/>
          </w:tcPr>
          <w:p w14:paraId="14B4E8A7" w14:textId="040D6390" w:rsidR="00850403" w:rsidRDefault="00AD6F0F" w:rsidP="002848FF">
            <w:pPr>
              <w:pStyle w:val="TableText"/>
              <w:cnfStyle w:val="000000000000" w:firstRow="0" w:lastRow="0" w:firstColumn="0" w:lastColumn="0" w:oddVBand="0" w:evenVBand="0" w:oddHBand="0" w:evenHBand="0" w:firstRowFirstColumn="0" w:firstRowLastColumn="0" w:lastRowFirstColumn="0" w:lastRowLastColumn="0"/>
            </w:pPr>
            <w:r>
              <w:t>AEMO</w:t>
            </w:r>
          </w:p>
        </w:tc>
      </w:tr>
      <w:tr w:rsidR="002848FF" w14:paraId="21B1CFD6"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464D6829" w14:textId="65127614" w:rsidR="002848FF" w:rsidRDefault="002848FF" w:rsidP="00B103B4">
            <w:pPr>
              <w:pStyle w:val="TableText"/>
              <w:numPr>
                <w:ilvl w:val="0"/>
                <w:numId w:val="33"/>
              </w:numPr>
            </w:pPr>
          </w:p>
        </w:tc>
        <w:tc>
          <w:tcPr>
            <w:tcW w:w="6201" w:type="dxa"/>
          </w:tcPr>
          <w:p w14:paraId="22A1D0C7" w14:textId="0168F629" w:rsidR="002848FF" w:rsidRDefault="002848FF" w:rsidP="002848FF">
            <w:pPr>
              <w:pStyle w:val="TableText"/>
              <w:jc w:val="both"/>
              <w:cnfStyle w:val="000000000000" w:firstRow="0" w:lastRow="0" w:firstColumn="0" w:lastColumn="0" w:oddVBand="0" w:evenVBand="0" w:oddHBand="0" w:evenHBand="0" w:firstRowFirstColumn="0" w:firstRowLastColumn="0" w:lastRowFirstColumn="0" w:lastRowLastColumn="0"/>
            </w:pPr>
            <w:r>
              <w:t xml:space="preserve">Confidence levels chosen to determine FUM </w:t>
            </w:r>
          </w:p>
        </w:tc>
        <w:tc>
          <w:tcPr>
            <w:tcW w:w="1990" w:type="dxa"/>
          </w:tcPr>
          <w:p w14:paraId="34D31AA4" w14:textId="2FEDACA1" w:rsidR="002848FF" w:rsidRDefault="002848FF" w:rsidP="00A234F9">
            <w:pPr>
              <w:pStyle w:val="TableText"/>
              <w:cnfStyle w:val="000000000000" w:firstRow="0" w:lastRow="0" w:firstColumn="0" w:lastColumn="0" w:oddVBand="0" w:evenVBand="0" w:oddHBand="0" w:evenHBand="0" w:firstRowFirstColumn="0" w:firstRowLastColumn="0" w:lastRowFirstColumn="0" w:lastRowLastColumn="0"/>
            </w:pPr>
            <w:r w:rsidRPr="000C0598">
              <w:t>ERM Power</w:t>
            </w:r>
          </w:p>
        </w:tc>
      </w:tr>
      <w:tr w:rsidR="00A234F9" w14:paraId="67A64BE0"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2CAE2463" w14:textId="77777777" w:rsidR="00A234F9" w:rsidRDefault="00A234F9" w:rsidP="00A234F9">
            <w:pPr>
              <w:pStyle w:val="TableText"/>
              <w:numPr>
                <w:ilvl w:val="0"/>
                <w:numId w:val="33"/>
              </w:numPr>
            </w:pPr>
          </w:p>
        </w:tc>
        <w:tc>
          <w:tcPr>
            <w:tcW w:w="6201" w:type="dxa"/>
          </w:tcPr>
          <w:p w14:paraId="2FB6B74B" w14:textId="72422C5E" w:rsidR="00A234F9" w:rsidRDefault="00A234F9" w:rsidP="000D67CA">
            <w:pPr>
              <w:pStyle w:val="TableText"/>
              <w:jc w:val="both"/>
              <w:cnfStyle w:val="000000000000" w:firstRow="0" w:lastRow="0" w:firstColumn="0" w:lastColumn="0" w:oddVBand="0" w:evenVBand="0" w:oddHBand="0" w:evenHBand="0" w:firstRowFirstColumn="0" w:firstRowLastColumn="0" w:lastRowFirstColumn="0" w:lastRowLastColumn="0"/>
            </w:pPr>
            <w:r>
              <w:t xml:space="preserve">Define principles for selection of confidence levels to be used for FUM </w:t>
            </w:r>
          </w:p>
        </w:tc>
        <w:tc>
          <w:tcPr>
            <w:tcW w:w="1990" w:type="dxa"/>
          </w:tcPr>
          <w:p w14:paraId="0FA27D1C" w14:textId="0963238F" w:rsidR="00A234F9" w:rsidRPr="007E713D" w:rsidRDefault="00A234F9" w:rsidP="00A234F9">
            <w:pPr>
              <w:pStyle w:val="TableText"/>
              <w:cnfStyle w:val="000000000000" w:firstRow="0" w:lastRow="0" w:firstColumn="0" w:lastColumn="0" w:oddVBand="0" w:evenVBand="0" w:oddHBand="0" w:evenHBand="0" w:firstRowFirstColumn="0" w:firstRowLastColumn="0" w:lastRowFirstColumn="0" w:lastRowLastColumn="0"/>
            </w:pPr>
            <w:r>
              <w:t>AEMO</w:t>
            </w:r>
          </w:p>
        </w:tc>
      </w:tr>
      <w:tr w:rsidR="00B32E14" w14:paraId="7932FC27"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1B89E157" w14:textId="1048D587" w:rsidR="00B32E14" w:rsidRDefault="00B32E14" w:rsidP="00B103B4">
            <w:pPr>
              <w:pStyle w:val="TableText"/>
              <w:numPr>
                <w:ilvl w:val="0"/>
                <w:numId w:val="33"/>
              </w:numPr>
            </w:pPr>
          </w:p>
        </w:tc>
        <w:tc>
          <w:tcPr>
            <w:tcW w:w="6201" w:type="dxa"/>
          </w:tcPr>
          <w:p w14:paraId="1396761D" w14:textId="4FCD3664" w:rsidR="00B32E14" w:rsidRDefault="003B618F" w:rsidP="00B82D6B">
            <w:pPr>
              <w:pStyle w:val="TableText"/>
              <w:jc w:val="both"/>
              <w:cnfStyle w:val="000000000000" w:firstRow="0" w:lastRow="0" w:firstColumn="0" w:lastColumn="0" w:oddVBand="0" w:evenVBand="0" w:oddHBand="0" w:evenHBand="0" w:firstRowFirstColumn="0" w:firstRowLastColumn="0" w:lastRowFirstColumn="0" w:lastRowLastColumn="0"/>
            </w:pPr>
            <w:r>
              <w:t>Identification of relevant contingency events and notification of changes</w:t>
            </w:r>
            <w:r w:rsidR="00B82D6B">
              <w:t xml:space="preserve"> in contingency size</w:t>
            </w:r>
            <w:r>
              <w:t xml:space="preserve"> </w:t>
            </w:r>
          </w:p>
        </w:tc>
        <w:tc>
          <w:tcPr>
            <w:tcW w:w="1990" w:type="dxa"/>
          </w:tcPr>
          <w:p w14:paraId="0E3DF029" w14:textId="0EAC71D9" w:rsidR="00B32E14" w:rsidRPr="000C0598" w:rsidRDefault="00B32E14" w:rsidP="00B32E14">
            <w:pPr>
              <w:pStyle w:val="TableText"/>
              <w:cnfStyle w:val="000000000000" w:firstRow="0" w:lastRow="0" w:firstColumn="0" w:lastColumn="0" w:oddVBand="0" w:evenVBand="0" w:oddHBand="0" w:evenHBand="0" w:firstRowFirstColumn="0" w:firstRowLastColumn="0" w:lastRowFirstColumn="0" w:lastRowLastColumn="0"/>
            </w:pPr>
            <w:r w:rsidRPr="007E713D">
              <w:t>ERM Power</w:t>
            </w:r>
            <w:r w:rsidR="00B82D6B">
              <w:t>, ENGIE</w:t>
            </w:r>
          </w:p>
        </w:tc>
      </w:tr>
      <w:tr w:rsidR="00B32E14" w14:paraId="55D27F21"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262F3383" w14:textId="2FA29898" w:rsidR="00B32E14" w:rsidRDefault="00B32E14" w:rsidP="00B103B4">
            <w:pPr>
              <w:pStyle w:val="TableText"/>
              <w:numPr>
                <w:ilvl w:val="0"/>
                <w:numId w:val="33"/>
              </w:numPr>
            </w:pPr>
          </w:p>
        </w:tc>
        <w:tc>
          <w:tcPr>
            <w:tcW w:w="6201" w:type="dxa"/>
          </w:tcPr>
          <w:p w14:paraId="7BD7E19B" w14:textId="4AEE5F94" w:rsidR="00B32E14" w:rsidRDefault="00B32E14" w:rsidP="00B32E14">
            <w:pPr>
              <w:pStyle w:val="TableText"/>
              <w:jc w:val="both"/>
              <w:cnfStyle w:val="000000000000" w:firstRow="0" w:lastRow="0" w:firstColumn="0" w:lastColumn="0" w:oddVBand="0" w:evenVBand="0" w:oddHBand="0" w:evenHBand="0" w:firstRowFirstColumn="0" w:firstRowLastColumn="0" w:lastRowFirstColumn="0" w:lastRowLastColumn="0"/>
            </w:pPr>
            <w:r>
              <w:t>Alternative definition of LOR1</w:t>
            </w:r>
          </w:p>
        </w:tc>
        <w:tc>
          <w:tcPr>
            <w:tcW w:w="1990" w:type="dxa"/>
          </w:tcPr>
          <w:p w14:paraId="23F70048" w14:textId="469ADFD4" w:rsidR="00B32E14" w:rsidRPr="000C0598" w:rsidRDefault="00B32E14" w:rsidP="00B32E14">
            <w:pPr>
              <w:pStyle w:val="TableText"/>
              <w:cnfStyle w:val="000000000000" w:firstRow="0" w:lastRow="0" w:firstColumn="0" w:lastColumn="0" w:oddVBand="0" w:evenVBand="0" w:oddHBand="0" w:evenHBand="0" w:firstRowFirstColumn="0" w:firstRowLastColumn="0" w:lastRowFirstColumn="0" w:lastRowLastColumn="0"/>
            </w:pPr>
            <w:r w:rsidRPr="007E713D">
              <w:t>ERM Power</w:t>
            </w:r>
          </w:p>
        </w:tc>
      </w:tr>
      <w:tr w:rsidR="00B82D6B" w14:paraId="3AF90E1F" w14:textId="77777777" w:rsidTr="00B82D6B">
        <w:tc>
          <w:tcPr>
            <w:cnfStyle w:val="001000000000" w:firstRow="0" w:lastRow="0" w:firstColumn="1" w:lastColumn="0" w:oddVBand="0" w:evenVBand="0" w:oddHBand="0" w:evenHBand="0" w:firstRowFirstColumn="0" w:firstRowLastColumn="0" w:lastRowFirstColumn="0" w:lastRowLastColumn="0"/>
            <w:tcW w:w="993" w:type="dxa"/>
            <w:vAlign w:val="center"/>
          </w:tcPr>
          <w:p w14:paraId="2B29EE88" w14:textId="77777777" w:rsidR="00B82D6B" w:rsidRDefault="00B82D6B" w:rsidP="00B103B4">
            <w:pPr>
              <w:pStyle w:val="TableText"/>
              <w:numPr>
                <w:ilvl w:val="0"/>
                <w:numId w:val="33"/>
              </w:numPr>
            </w:pPr>
          </w:p>
        </w:tc>
        <w:tc>
          <w:tcPr>
            <w:tcW w:w="6201" w:type="dxa"/>
          </w:tcPr>
          <w:p w14:paraId="02B0B166" w14:textId="04D4594E" w:rsidR="00B82D6B" w:rsidRDefault="00B82D6B" w:rsidP="00B82D6B">
            <w:pPr>
              <w:pStyle w:val="TableText"/>
              <w:jc w:val="both"/>
              <w:cnfStyle w:val="000000000000" w:firstRow="0" w:lastRow="0" w:firstColumn="0" w:lastColumn="0" w:oddVBand="0" w:evenVBand="0" w:oddHBand="0" w:evenHBand="0" w:firstRowFirstColumn="0" w:firstRowLastColumn="0" w:lastRowFirstColumn="0" w:lastRowLastColumn="0"/>
            </w:pPr>
            <w:r>
              <w:t>Explanation of method of calculation for LOR1 and LOR2, and proposed terminology change for LCR and LCR2</w:t>
            </w:r>
          </w:p>
        </w:tc>
        <w:tc>
          <w:tcPr>
            <w:tcW w:w="1990" w:type="dxa"/>
          </w:tcPr>
          <w:p w14:paraId="4F924F4D" w14:textId="77777777" w:rsidR="00B82D6B" w:rsidRDefault="00B82D6B" w:rsidP="00B82D6B">
            <w:pPr>
              <w:pStyle w:val="TableText"/>
              <w:cnfStyle w:val="000000000000" w:firstRow="0" w:lastRow="0" w:firstColumn="0" w:lastColumn="0" w:oddVBand="0" w:evenVBand="0" w:oddHBand="0" w:evenHBand="0" w:firstRowFirstColumn="0" w:firstRowLastColumn="0" w:lastRowFirstColumn="0" w:lastRowLastColumn="0"/>
            </w:pPr>
            <w:r>
              <w:t>ENGIE</w:t>
            </w:r>
          </w:p>
        </w:tc>
      </w:tr>
      <w:tr w:rsidR="00B82D6B" w14:paraId="4F3747CF" w14:textId="77777777" w:rsidTr="00B82D6B">
        <w:tc>
          <w:tcPr>
            <w:cnfStyle w:val="001000000000" w:firstRow="0" w:lastRow="0" w:firstColumn="1" w:lastColumn="0" w:oddVBand="0" w:evenVBand="0" w:oddHBand="0" w:evenHBand="0" w:firstRowFirstColumn="0" w:firstRowLastColumn="0" w:lastRowFirstColumn="0" w:lastRowLastColumn="0"/>
            <w:tcW w:w="993" w:type="dxa"/>
            <w:vAlign w:val="center"/>
          </w:tcPr>
          <w:p w14:paraId="342AFAB7" w14:textId="77777777" w:rsidR="00B82D6B" w:rsidRDefault="00B82D6B" w:rsidP="00B103B4">
            <w:pPr>
              <w:pStyle w:val="TableText"/>
              <w:numPr>
                <w:ilvl w:val="0"/>
                <w:numId w:val="33"/>
              </w:numPr>
            </w:pPr>
          </w:p>
        </w:tc>
        <w:tc>
          <w:tcPr>
            <w:tcW w:w="6201" w:type="dxa"/>
          </w:tcPr>
          <w:p w14:paraId="6FE10BA7" w14:textId="03FB54C8" w:rsidR="00B82D6B" w:rsidRDefault="00B82D6B" w:rsidP="00B82D6B">
            <w:pPr>
              <w:pStyle w:val="TableText"/>
              <w:jc w:val="both"/>
              <w:cnfStyle w:val="000000000000" w:firstRow="0" w:lastRow="0" w:firstColumn="0" w:lastColumn="0" w:oddVBand="0" w:evenVBand="0" w:oddHBand="0" w:evenHBand="0" w:firstRowFirstColumn="0" w:firstRowLastColumn="0" w:lastRowFirstColumn="0" w:lastRowLastColumn="0"/>
            </w:pPr>
            <w:r>
              <w:t>Improved explanation of forecast uncertainty error methodology</w:t>
            </w:r>
          </w:p>
        </w:tc>
        <w:tc>
          <w:tcPr>
            <w:tcW w:w="1990" w:type="dxa"/>
          </w:tcPr>
          <w:p w14:paraId="27890952" w14:textId="77777777" w:rsidR="00B82D6B" w:rsidRDefault="00B82D6B" w:rsidP="00B82D6B">
            <w:pPr>
              <w:pStyle w:val="TableText"/>
              <w:cnfStyle w:val="000000000000" w:firstRow="0" w:lastRow="0" w:firstColumn="0" w:lastColumn="0" w:oddVBand="0" w:evenVBand="0" w:oddHBand="0" w:evenHBand="0" w:firstRowFirstColumn="0" w:firstRowLastColumn="0" w:lastRowFirstColumn="0" w:lastRowLastColumn="0"/>
            </w:pPr>
            <w:r>
              <w:t>ENGIE</w:t>
            </w:r>
          </w:p>
        </w:tc>
      </w:tr>
      <w:tr w:rsidR="00B32E14" w14:paraId="24BB7832"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22EC07E7" w14:textId="0BC4C67B" w:rsidR="00B32E14" w:rsidRDefault="00B32E14" w:rsidP="00B103B4">
            <w:pPr>
              <w:pStyle w:val="TableText"/>
              <w:numPr>
                <w:ilvl w:val="0"/>
                <w:numId w:val="33"/>
              </w:numPr>
            </w:pPr>
          </w:p>
        </w:tc>
        <w:tc>
          <w:tcPr>
            <w:tcW w:w="6201" w:type="dxa"/>
          </w:tcPr>
          <w:p w14:paraId="53F7FDF6" w14:textId="16FF0632" w:rsidR="00B32E14" w:rsidRDefault="00B32E14" w:rsidP="00FD310F">
            <w:pPr>
              <w:pStyle w:val="TableText"/>
              <w:jc w:val="both"/>
              <w:cnfStyle w:val="000000000000" w:firstRow="0" w:lastRow="0" w:firstColumn="0" w:lastColumn="0" w:oddVBand="0" w:evenVBand="0" w:oddHBand="0" w:evenHBand="0" w:firstRowFirstColumn="0" w:firstRowLastColumn="0" w:lastRowFirstColumn="0" w:lastRowLastColumn="0"/>
            </w:pPr>
            <w:r>
              <w:t xml:space="preserve">Publication of FUM values </w:t>
            </w:r>
          </w:p>
        </w:tc>
        <w:tc>
          <w:tcPr>
            <w:tcW w:w="1990" w:type="dxa"/>
          </w:tcPr>
          <w:p w14:paraId="6BD6A66C" w14:textId="3E899438" w:rsidR="00B32E14" w:rsidRPr="000C0598" w:rsidRDefault="00B32E14" w:rsidP="00B32E14">
            <w:pPr>
              <w:pStyle w:val="TableText"/>
              <w:cnfStyle w:val="000000000000" w:firstRow="0" w:lastRow="0" w:firstColumn="0" w:lastColumn="0" w:oddVBand="0" w:evenVBand="0" w:oddHBand="0" w:evenHBand="0" w:firstRowFirstColumn="0" w:firstRowLastColumn="0" w:lastRowFirstColumn="0" w:lastRowLastColumn="0"/>
            </w:pPr>
            <w:r w:rsidRPr="007E713D">
              <w:t>ERM Power</w:t>
            </w:r>
          </w:p>
        </w:tc>
      </w:tr>
      <w:tr w:rsidR="00CD39C5" w14:paraId="5FAE9C70"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5FA6C6D0" w14:textId="0714231A" w:rsidR="00CD39C5" w:rsidRDefault="00CD39C5" w:rsidP="00B103B4">
            <w:pPr>
              <w:pStyle w:val="TableText"/>
              <w:numPr>
                <w:ilvl w:val="0"/>
                <w:numId w:val="33"/>
              </w:numPr>
            </w:pPr>
          </w:p>
        </w:tc>
        <w:tc>
          <w:tcPr>
            <w:tcW w:w="6201" w:type="dxa"/>
          </w:tcPr>
          <w:p w14:paraId="1C25FDE5" w14:textId="689473B4" w:rsidR="00CD39C5" w:rsidRDefault="00CD39C5" w:rsidP="002848FF">
            <w:pPr>
              <w:pStyle w:val="TableText"/>
              <w:jc w:val="both"/>
              <w:cnfStyle w:val="000000000000" w:firstRow="0" w:lastRow="0" w:firstColumn="0" w:lastColumn="0" w:oddVBand="0" w:evenVBand="0" w:oddHBand="0" w:evenHBand="0" w:firstRowFirstColumn="0" w:firstRowLastColumn="0" w:lastRowFirstColumn="0" w:lastRowLastColumn="0"/>
            </w:pPr>
            <w:r>
              <w:t>Determination of when to declare conditions</w:t>
            </w:r>
          </w:p>
        </w:tc>
        <w:tc>
          <w:tcPr>
            <w:tcW w:w="1990" w:type="dxa"/>
          </w:tcPr>
          <w:p w14:paraId="7889F5FB" w14:textId="10C194FA" w:rsidR="00CD39C5" w:rsidRDefault="00CD39C5" w:rsidP="002848FF">
            <w:pPr>
              <w:pStyle w:val="TableText"/>
              <w:cnfStyle w:val="000000000000" w:firstRow="0" w:lastRow="0" w:firstColumn="0" w:lastColumn="0" w:oddVBand="0" w:evenVBand="0" w:oddHBand="0" w:evenHBand="0" w:firstRowFirstColumn="0" w:firstRowLastColumn="0" w:lastRowFirstColumn="0" w:lastRowLastColumn="0"/>
            </w:pPr>
            <w:r>
              <w:t>ENGIE</w:t>
            </w:r>
          </w:p>
        </w:tc>
      </w:tr>
      <w:tr w:rsidR="000D67CA" w14:paraId="064C8A0E"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49B21E29" w14:textId="77777777" w:rsidR="000D67CA" w:rsidRDefault="000D67CA" w:rsidP="00B103B4">
            <w:pPr>
              <w:pStyle w:val="TableText"/>
              <w:numPr>
                <w:ilvl w:val="0"/>
                <w:numId w:val="33"/>
              </w:numPr>
            </w:pPr>
          </w:p>
        </w:tc>
        <w:tc>
          <w:tcPr>
            <w:tcW w:w="6201" w:type="dxa"/>
          </w:tcPr>
          <w:p w14:paraId="513BEEA0" w14:textId="620AA61F" w:rsidR="000D67CA" w:rsidRDefault="000D67CA" w:rsidP="000D67CA">
            <w:pPr>
              <w:pStyle w:val="TableText"/>
              <w:jc w:val="both"/>
              <w:cnfStyle w:val="000000000000" w:firstRow="0" w:lastRow="0" w:firstColumn="0" w:lastColumn="0" w:oddVBand="0" w:evenVBand="0" w:oddHBand="0" w:evenHBand="0" w:firstRowFirstColumn="0" w:firstRowLastColumn="0" w:lastRowFirstColumn="0" w:lastRowLastColumn="0"/>
            </w:pPr>
            <w:r>
              <w:t>Reasonability checking of FUM values</w:t>
            </w:r>
          </w:p>
        </w:tc>
        <w:tc>
          <w:tcPr>
            <w:tcW w:w="1990" w:type="dxa"/>
          </w:tcPr>
          <w:p w14:paraId="033E40E7" w14:textId="4D93D006" w:rsidR="000D67CA" w:rsidRDefault="000D67CA" w:rsidP="002848FF">
            <w:pPr>
              <w:pStyle w:val="TableText"/>
              <w:cnfStyle w:val="000000000000" w:firstRow="0" w:lastRow="0" w:firstColumn="0" w:lastColumn="0" w:oddVBand="0" w:evenVBand="0" w:oddHBand="0" w:evenHBand="0" w:firstRowFirstColumn="0" w:firstRowLastColumn="0" w:lastRowFirstColumn="0" w:lastRowLastColumn="0"/>
            </w:pPr>
            <w:r>
              <w:t>AEMO</w:t>
            </w:r>
          </w:p>
        </w:tc>
      </w:tr>
      <w:tr w:rsidR="00F13343" w14:paraId="11039779"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2348B5B7" w14:textId="25115A4B" w:rsidR="00F13343" w:rsidRDefault="00F13343" w:rsidP="00B103B4">
            <w:pPr>
              <w:pStyle w:val="TableText"/>
              <w:numPr>
                <w:ilvl w:val="0"/>
                <w:numId w:val="33"/>
              </w:numPr>
            </w:pPr>
          </w:p>
        </w:tc>
        <w:tc>
          <w:tcPr>
            <w:tcW w:w="6201" w:type="dxa"/>
          </w:tcPr>
          <w:p w14:paraId="376FF8C9" w14:textId="61820A0C" w:rsidR="00F13343" w:rsidRDefault="00F13343" w:rsidP="002848FF">
            <w:pPr>
              <w:pStyle w:val="TableText"/>
              <w:jc w:val="both"/>
              <w:cnfStyle w:val="000000000000" w:firstRow="0" w:lastRow="0" w:firstColumn="0" w:lastColumn="0" w:oddVBand="0" w:evenVBand="0" w:oddHBand="0" w:evenHBand="0" w:firstRowFirstColumn="0" w:firstRowLastColumn="0" w:lastRowFirstColumn="0" w:lastRowLastColumn="0"/>
            </w:pPr>
            <w:r>
              <w:t xml:space="preserve">Confidence level used for FUM to vary between regions and over forecasting horizon </w:t>
            </w:r>
          </w:p>
        </w:tc>
        <w:tc>
          <w:tcPr>
            <w:tcW w:w="1990" w:type="dxa"/>
          </w:tcPr>
          <w:p w14:paraId="5DA7FF8C" w14:textId="54C86A5D" w:rsidR="00F13343" w:rsidRPr="000C0598" w:rsidRDefault="00F13343" w:rsidP="002848FF">
            <w:pPr>
              <w:pStyle w:val="TableText"/>
              <w:cnfStyle w:val="000000000000" w:firstRow="0" w:lastRow="0" w:firstColumn="0" w:lastColumn="0" w:oddVBand="0" w:evenVBand="0" w:oddHBand="0" w:evenHBand="0" w:firstRowFirstColumn="0" w:firstRowLastColumn="0" w:lastRowFirstColumn="0" w:lastRowLastColumn="0"/>
            </w:pPr>
            <w:r>
              <w:t>AEMO</w:t>
            </w:r>
          </w:p>
        </w:tc>
      </w:tr>
      <w:tr w:rsidR="003B618F" w14:paraId="7648D78A" w14:textId="77777777" w:rsidTr="003B618F">
        <w:tc>
          <w:tcPr>
            <w:cnfStyle w:val="001000000000" w:firstRow="0" w:lastRow="0" w:firstColumn="1" w:lastColumn="0" w:oddVBand="0" w:evenVBand="0" w:oddHBand="0" w:evenHBand="0" w:firstRowFirstColumn="0" w:firstRowLastColumn="0" w:lastRowFirstColumn="0" w:lastRowLastColumn="0"/>
            <w:tcW w:w="993" w:type="dxa"/>
            <w:vAlign w:val="center"/>
          </w:tcPr>
          <w:p w14:paraId="012BCB71" w14:textId="28014077" w:rsidR="003B618F" w:rsidRDefault="003B618F" w:rsidP="00B103B4">
            <w:pPr>
              <w:pStyle w:val="TableText"/>
              <w:numPr>
                <w:ilvl w:val="0"/>
                <w:numId w:val="33"/>
              </w:numPr>
            </w:pPr>
          </w:p>
        </w:tc>
        <w:tc>
          <w:tcPr>
            <w:tcW w:w="6201" w:type="dxa"/>
          </w:tcPr>
          <w:p w14:paraId="08285F5B" w14:textId="10B13D25" w:rsidR="003B618F" w:rsidRDefault="003B618F" w:rsidP="00B82D6B">
            <w:pPr>
              <w:pStyle w:val="TableText"/>
              <w:jc w:val="both"/>
              <w:cnfStyle w:val="000000000000" w:firstRow="0" w:lastRow="0" w:firstColumn="0" w:lastColumn="0" w:oddVBand="0" w:evenVBand="0" w:oddHBand="0" w:evenHBand="0" w:firstRowFirstColumn="0" w:firstRowLastColumn="0" w:lastRowFirstColumn="0" w:lastRowLastColumn="0"/>
            </w:pPr>
            <w:r>
              <w:t>Review of initial Guideline</w:t>
            </w:r>
            <w:r w:rsidR="00E25FD3">
              <w:t>s</w:t>
            </w:r>
            <w:r>
              <w:t xml:space="preserve"> after summer 2017-18</w:t>
            </w:r>
            <w:r w:rsidR="00AD6F0F">
              <w:t xml:space="preserve"> and continued process improvement</w:t>
            </w:r>
          </w:p>
        </w:tc>
        <w:tc>
          <w:tcPr>
            <w:tcW w:w="1990" w:type="dxa"/>
          </w:tcPr>
          <w:p w14:paraId="0FDEED78" w14:textId="12A0612A" w:rsidR="003B618F" w:rsidRPr="000C0598" w:rsidRDefault="003B618F" w:rsidP="00B82D6B">
            <w:pPr>
              <w:pStyle w:val="TableText"/>
              <w:cnfStyle w:val="000000000000" w:firstRow="0" w:lastRow="0" w:firstColumn="0" w:lastColumn="0" w:oddVBand="0" w:evenVBand="0" w:oddHBand="0" w:evenHBand="0" w:firstRowFirstColumn="0" w:firstRowLastColumn="0" w:lastRowFirstColumn="0" w:lastRowLastColumn="0"/>
            </w:pPr>
            <w:r w:rsidRPr="007E713D">
              <w:t>ERM Power</w:t>
            </w:r>
          </w:p>
        </w:tc>
      </w:tr>
    </w:tbl>
    <w:p w14:paraId="6117127F" w14:textId="77777777" w:rsidR="00CF5B6E" w:rsidRDefault="00CF5B6E" w:rsidP="0046618F">
      <w:pPr>
        <w:pStyle w:val="TableFootnote"/>
      </w:pPr>
    </w:p>
    <w:p w14:paraId="66C99756" w14:textId="326CEA06" w:rsidR="00F52AC0" w:rsidRPr="00B11D62" w:rsidRDefault="00F52AC0" w:rsidP="00CF5B6E">
      <w:pPr>
        <w:pStyle w:val="BodyText"/>
      </w:pPr>
      <w:r w:rsidRPr="00B11D62">
        <w:t>Sections 4 and 5 of this report discuss these issues in more detail, and outline any changes from the consultation draft of the Guidelines result</w:t>
      </w:r>
      <w:r w:rsidR="000D67CA" w:rsidRPr="00B11D62">
        <w:t>ing</w:t>
      </w:r>
      <w:r w:rsidRPr="00B11D62">
        <w:t xml:space="preserve"> from AEMO’s assessment. </w:t>
      </w:r>
    </w:p>
    <w:p w14:paraId="655A278C" w14:textId="644B1157" w:rsidR="00CF5B6E" w:rsidRDefault="00CF5B6E" w:rsidP="00CF5B6E">
      <w:pPr>
        <w:pStyle w:val="Heading1"/>
      </w:pPr>
      <w:bookmarkStart w:id="9" w:name="_Toc501453654"/>
      <w:r>
        <w:t>Discussion of material Issues</w:t>
      </w:r>
      <w:bookmarkEnd w:id="9"/>
      <w:r>
        <w:t xml:space="preserve"> </w:t>
      </w:r>
    </w:p>
    <w:p w14:paraId="3A4AD7F1" w14:textId="23456819" w:rsidR="00CF5B6E" w:rsidRDefault="00F13343" w:rsidP="00F13343">
      <w:pPr>
        <w:pStyle w:val="Heading2"/>
      </w:pPr>
      <w:bookmarkStart w:id="10" w:name="_Toc501453655"/>
      <w:r>
        <w:t>How non-scheduled generating units are taken into account</w:t>
      </w:r>
      <w:bookmarkEnd w:id="10"/>
      <w:r>
        <w:t xml:space="preserve"> </w:t>
      </w:r>
    </w:p>
    <w:p w14:paraId="4AEC5DCE" w14:textId="1DD9A256" w:rsidR="00F13343" w:rsidRDefault="00F13343" w:rsidP="00F13343">
      <w:pPr>
        <w:pStyle w:val="Heading3"/>
      </w:pPr>
      <w:r>
        <w:t xml:space="preserve">Issue summary </w:t>
      </w:r>
    </w:p>
    <w:p w14:paraId="55E73E14" w14:textId="33E617AB" w:rsidR="00F13343" w:rsidRPr="000C6D45" w:rsidRDefault="00F13343" w:rsidP="000C6D45">
      <w:pPr>
        <w:pStyle w:val="BodyText"/>
      </w:pPr>
      <w:r w:rsidRPr="000C6D45">
        <w:t>ERM Power</w:t>
      </w:r>
      <w:r w:rsidR="00ED1510">
        <w:t xml:space="preserve">’s </w:t>
      </w:r>
      <w:r w:rsidRPr="000C6D45">
        <w:t xml:space="preserve">submission </w:t>
      </w:r>
      <w:r w:rsidR="00ED1510">
        <w:t>expressed the view</w:t>
      </w:r>
      <w:r w:rsidR="00683982">
        <w:t xml:space="preserve"> that</w:t>
      </w:r>
      <w:r w:rsidRPr="000C6D45">
        <w:t xml:space="preserve"> not all significant non-scheduled generating units which are included in the </w:t>
      </w:r>
      <w:r w:rsidR="00850403">
        <w:t>o</w:t>
      </w:r>
      <w:r w:rsidRPr="000C6D45">
        <w:t xml:space="preserve">perational </w:t>
      </w:r>
      <w:r w:rsidR="00850403">
        <w:t>d</w:t>
      </w:r>
      <w:r w:rsidRPr="000C6D45">
        <w:t xml:space="preserve">emand </w:t>
      </w:r>
      <w:r w:rsidR="00850403">
        <w:t>f</w:t>
      </w:r>
      <w:r w:rsidRPr="000C6D45">
        <w:t xml:space="preserve">orecast will be included in the </w:t>
      </w:r>
      <w:r w:rsidR="00ED1510">
        <w:t xml:space="preserve">LOR </w:t>
      </w:r>
      <w:r w:rsidRPr="000C6D45">
        <w:t xml:space="preserve">calculation process. </w:t>
      </w:r>
    </w:p>
    <w:p w14:paraId="691027C3" w14:textId="5675E240" w:rsidR="004F7C93" w:rsidRPr="004F7C93" w:rsidRDefault="00F13343" w:rsidP="004F7C93">
      <w:pPr>
        <w:pStyle w:val="Heading3"/>
      </w:pPr>
      <w:r>
        <w:t xml:space="preserve">AEMO’s assessment </w:t>
      </w:r>
    </w:p>
    <w:p w14:paraId="089AA260" w14:textId="3C5F8585" w:rsidR="00F13343" w:rsidRPr="004F7C93" w:rsidRDefault="00ED1510" w:rsidP="00EA127F">
      <w:pPr>
        <w:pStyle w:val="BodyText"/>
        <w:rPr>
          <w:rFonts w:ascii="Calibri" w:eastAsia="Times New Roman" w:hAnsi="Calibri"/>
          <w:szCs w:val="22"/>
        </w:rPr>
      </w:pPr>
      <w:r>
        <w:t>U</w:t>
      </w:r>
      <w:r w:rsidR="001A1AD6">
        <w:t xml:space="preserve">nder the current forecasting models, </w:t>
      </w:r>
      <w:r w:rsidR="00F13343" w:rsidRPr="004F7C93">
        <w:t>all non-scheduled generating units fall into one of two categories</w:t>
      </w:r>
      <w:r w:rsidR="00363D73" w:rsidRPr="004F7C93">
        <w:t>:</w:t>
      </w:r>
    </w:p>
    <w:p w14:paraId="2F53E39D" w14:textId="37920A2C" w:rsidR="00F13343" w:rsidRPr="004F7C93" w:rsidRDefault="00F13343" w:rsidP="0046618F">
      <w:pPr>
        <w:pStyle w:val="ListNumber"/>
      </w:pPr>
      <w:r w:rsidRPr="004F7C93">
        <w:t xml:space="preserve">Non-scheduled wind farms </w:t>
      </w:r>
      <w:r w:rsidR="003707FB">
        <w:t xml:space="preserve">and some non-scheduled solar farms </w:t>
      </w:r>
      <w:r w:rsidRPr="004F7C93">
        <w:t>which are included in the intermittent genera</w:t>
      </w:r>
      <w:r w:rsidR="004F7C93" w:rsidRPr="004F7C93">
        <w:t>ti</w:t>
      </w:r>
      <w:r w:rsidR="00ED1510">
        <w:t>on</w:t>
      </w:r>
      <w:r w:rsidR="004F7C93" w:rsidRPr="004F7C93">
        <w:t xml:space="preserve"> forecasting process </w:t>
      </w:r>
      <w:r w:rsidR="00ED1510">
        <w:t>(using the Australian Wind Energy Forecasting System (AWEFS)</w:t>
      </w:r>
      <w:r w:rsidR="003707FB">
        <w:t xml:space="preserve"> and Australian Solar Energy Forecasting System (ASEFS)</w:t>
      </w:r>
      <w:r w:rsidR="00ED1510">
        <w:t xml:space="preserve">) </w:t>
      </w:r>
      <w:r w:rsidR="004F7C93" w:rsidRPr="004F7C93">
        <w:t>and</w:t>
      </w:r>
      <w:r w:rsidRPr="004F7C93">
        <w:t xml:space="preserve"> so </w:t>
      </w:r>
      <w:r w:rsidR="004F7C93" w:rsidRPr="004F7C93">
        <w:t xml:space="preserve">are </w:t>
      </w:r>
      <w:r w:rsidRPr="004F7C93">
        <w:t>taken directly into account in this process</w:t>
      </w:r>
      <w:r w:rsidR="00ED1510">
        <w:t>.</w:t>
      </w:r>
    </w:p>
    <w:p w14:paraId="404FD45A" w14:textId="39F21B26" w:rsidR="00F13343" w:rsidRPr="004F7C93" w:rsidRDefault="00F13343" w:rsidP="0046618F">
      <w:pPr>
        <w:pStyle w:val="ListNumber"/>
      </w:pPr>
      <w:r w:rsidRPr="004F7C93">
        <w:t xml:space="preserve">Other non-scheduled generating units which are implicitly taken into account in </w:t>
      </w:r>
      <w:r w:rsidR="00ED1510">
        <w:t>AEMO’s o</w:t>
      </w:r>
      <w:r w:rsidRPr="004F7C93">
        <w:t>perational demand forecast</w:t>
      </w:r>
      <w:r w:rsidR="00ED1510">
        <w:t>s</w:t>
      </w:r>
      <w:r w:rsidRPr="004F7C93">
        <w:t xml:space="preserve"> process and so are also taken into account in this process</w:t>
      </w:r>
      <w:r w:rsidR="00ED1510">
        <w:t>.</w:t>
      </w:r>
    </w:p>
    <w:p w14:paraId="09A63224" w14:textId="5D11546F" w:rsidR="00F13343" w:rsidRDefault="00363D73" w:rsidP="00EA127F">
      <w:pPr>
        <w:pStyle w:val="BodyText"/>
      </w:pPr>
      <w:r w:rsidRPr="004F7C93">
        <w:t xml:space="preserve">Thus AEMO </w:t>
      </w:r>
      <w:r w:rsidR="00ED1510">
        <w:t>considers</w:t>
      </w:r>
      <w:r w:rsidRPr="004F7C93">
        <w:t xml:space="preserve"> that </w:t>
      </w:r>
      <w:r w:rsidR="004F7C93" w:rsidRPr="004F7C93">
        <w:t>all significant non-scheduled generati</w:t>
      </w:r>
      <w:r w:rsidR="00ED1510">
        <w:t>on</w:t>
      </w:r>
      <w:r w:rsidR="004F7C93" w:rsidRPr="004F7C93">
        <w:t xml:space="preserve"> w</w:t>
      </w:r>
      <w:r w:rsidR="00ED1510">
        <w:t xml:space="preserve">ill </w:t>
      </w:r>
      <w:r w:rsidR="004F7C93" w:rsidRPr="004F7C93">
        <w:t xml:space="preserve">be </w:t>
      </w:r>
      <w:r w:rsidR="00ED1510">
        <w:t xml:space="preserve">taken into account </w:t>
      </w:r>
      <w:r w:rsidR="004F7C93" w:rsidRPr="004F7C93">
        <w:t xml:space="preserve">in the </w:t>
      </w:r>
      <w:r w:rsidR="00ED1510">
        <w:t>forecasts used for the purposes of determining LOR levels</w:t>
      </w:r>
      <w:r w:rsidR="004F7C93" w:rsidRPr="004F7C93">
        <w:t xml:space="preserve">. </w:t>
      </w:r>
    </w:p>
    <w:p w14:paraId="4F3D84D6" w14:textId="4E5CF49B" w:rsidR="004F7C93" w:rsidRPr="004F7C93" w:rsidRDefault="004F7C93" w:rsidP="004F7C93">
      <w:pPr>
        <w:pStyle w:val="Heading3"/>
      </w:pPr>
      <w:r>
        <w:t xml:space="preserve">AEMO’s conclusion </w:t>
      </w:r>
    </w:p>
    <w:p w14:paraId="14220B80" w14:textId="7CE111EB" w:rsidR="004F7C93" w:rsidRPr="00ED1510" w:rsidRDefault="00850403" w:rsidP="00CF5B6E">
      <w:pPr>
        <w:pStyle w:val="BodyText"/>
      </w:pPr>
      <w:r>
        <w:t xml:space="preserve">No </w:t>
      </w:r>
      <w:r w:rsidR="004F7C93" w:rsidRPr="00C878DE">
        <w:t xml:space="preserve">change to the </w:t>
      </w:r>
      <w:r w:rsidR="00F52AC0">
        <w:t xml:space="preserve">draft </w:t>
      </w:r>
      <w:r w:rsidR="004F7C93" w:rsidRPr="00850403">
        <w:t>Guidelines i</w:t>
      </w:r>
      <w:r w:rsidR="004F7C93" w:rsidRPr="00C878DE">
        <w:t>s required to address this issue</w:t>
      </w:r>
      <w:r w:rsidR="001A1AD6">
        <w:t>.</w:t>
      </w:r>
      <w:r w:rsidR="004F7C93" w:rsidRPr="00C878DE">
        <w:t xml:space="preserve"> </w:t>
      </w:r>
    </w:p>
    <w:p w14:paraId="591A7091" w14:textId="7D94AB95" w:rsidR="004F7C93" w:rsidRDefault="004F7C93" w:rsidP="004F7C93">
      <w:pPr>
        <w:pStyle w:val="Heading2"/>
      </w:pPr>
      <w:bookmarkStart w:id="11" w:name="_Toc501453656"/>
      <w:r>
        <w:t xml:space="preserve">Details </w:t>
      </w:r>
      <w:r w:rsidR="00FD310F">
        <w:t xml:space="preserve">and basis for </w:t>
      </w:r>
      <w:r>
        <w:t>input assumptions</w:t>
      </w:r>
      <w:bookmarkEnd w:id="11"/>
      <w:r>
        <w:t xml:space="preserve"> </w:t>
      </w:r>
    </w:p>
    <w:p w14:paraId="59FA10FA" w14:textId="2950EF9A" w:rsidR="004F7C93" w:rsidRDefault="004F7C93" w:rsidP="004F7C93">
      <w:pPr>
        <w:pStyle w:val="Heading3"/>
      </w:pPr>
      <w:r>
        <w:t>Issue summary</w:t>
      </w:r>
    </w:p>
    <w:p w14:paraId="24C0842F" w14:textId="4359A4CC" w:rsidR="004F7C93" w:rsidRPr="004F7C93" w:rsidRDefault="004F7C93" w:rsidP="000C6D45">
      <w:pPr>
        <w:pStyle w:val="BodyText"/>
        <w:rPr>
          <w:rFonts w:ascii="Calibri" w:eastAsia="Times New Roman" w:hAnsi="Calibri"/>
          <w:szCs w:val="22"/>
        </w:rPr>
      </w:pPr>
      <w:r>
        <w:t xml:space="preserve">ERM Power </w:t>
      </w:r>
      <w:r w:rsidRPr="004F7C93">
        <w:t>proposed that the Guidelines contain a list of input assumptions and a brief statement setting out the basis on which these input assumptions have been derived.</w:t>
      </w:r>
      <w:r>
        <w:t xml:space="preserve"> In addition</w:t>
      </w:r>
      <w:r w:rsidR="00850403">
        <w:t>,</w:t>
      </w:r>
      <w:r>
        <w:t xml:space="preserve"> ERM Power raised two points of detail</w:t>
      </w:r>
      <w:r w:rsidR="00EA127F">
        <w:t>:</w:t>
      </w:r>
    </w:p>
    <w:p w14:paraId="089BB972" w14:textId="4D865A86" w:rsidR="004F7C93" w:rsidRDefault="004F7C93" w:rsidP="000C6D45">
      <w:pPr>
        <w:pStyle w:val="ListBullet"/>
      </w:pPr>
      <w:r>
        <w:t xml:space="preserve">Will only periods where AEMO under forecast actual demand conditions be used or will periods where demand was both under and over forecast?  </w:t>
      </w:r>
    </w:p>
    <w:p w14:paraId="696A2D18" w14:textId="4547AA1B" w:rsidR="004F7C93" w:rsidRPr="00C35FA8" w:rsidRDefault="004F7C93" w:rsidP="000C6D45">
      <w:pPr>
        <w:pStyle w:val="ListBullet"/>
      </w:pPr>
      <w:r w:rsidRPr="00C35FA8">
        <w:t>ERM would be interested in AEMO publishing input assumption data indicating the probability of both under and over forecasting by A</w:t>
      </w:r>
      <w:r w:rsidR="00C35FA8">
        <w:t>EMO systems. ERM had</w:t>
      </w:r>
      <w:r w:rsidRPr="00C35FA8">
        <w:t xml:space="preserve"> a concern that if there was a strong over forecasting bias in historic data for demand forecasts then this could result in an over estimation of errors which have neg</w:t>
      </w:r>
      <w:r w:rsidR="00C35FA8">
        <w:t>ative implications. ERM also had</w:t>
      </w:r>
      <w:r w:rsidRPr="00C35FA8">
        <w:t xml:space="preserve"> a similar concern regarding any historic bias to under forecast intermittent generation. </w:t>
      </w:r>
    </w:p>
    <w:p w14:paraId="46318CC0" w14:textId="77777777" w:rsidR="00C35FA8" w:rsidRDefault="00C35FA8" w:rsidP="00C35FA8">
      <w:pPr>
        <w:pStyle w:val="Heading3"/>
      </w:pPr>
      <w:r>
        <w:t xml:space="preserve">AEMO’s assessment </w:t>
      </w:r>
    </w:p>
    <w:p w14:paraId="4FF9D2A5" w14:textId="289CFF34" w:rsidR="00C35FA8" w:rsidRPr="000C6D45" w:rsidRDefault="00C35FA8" w:rsidP="000C6D45">
      <w:pPr>
        <w:pStyle w:val="BodyText"/>
      </w:pPr>
      <w:r w:rsidRPr="000C6D45">
        <w:t>AEM</w:t>
      </w:r>
      <w:r w:rsidR="00CD39C5" w:rsidRPr="000C6D45">
        <w:t xml:space="preserve">O is already intending </w:t>
      </w:r>
      <w:r w:rsidRPr="000C6D45">
        <w:t xml:space="preserve">to update details of input data to the BBN and </w:t>
      </w:r>
      <w:r w:rsidR="00AD6F0F">
        <w:t xml:space="preserve">considers that this </w:t>
      </w:r>
      <w:r w:rsidRPr="000C6D45">
        <w:t xml:space="preserve">will </w:t>
      </w:r>
      <w:r w:rsidR="00AD6F0F">
        <w:t>address ERM’s principal concern</w:t>
      </w:r>
      <w:r w:rsidR="008B16BB">
        <w:t xml:space="preserve">. </w:t>
      </w:r>
    </w:p>
    <w:p w14:paraId="18F88B09" w14:textId="1F6E67C0" w:rsidR="00C35FA8" w:rsidRPr="000C6D45" w:rsidRDefault="00C35FA8" w:rsidP="000C6D45">
      <w:pPr>
        <w:pStyle w:val="BodyText"/>
      </w:pPr>
      <w:r w:rsidRPr="000C6D45">
        <w:t>As regards periods of under</w:t>
      </w:r>
      <w:r w:rsidR="008B16BB">
        <w:t>-</w:t>
      </w:r>
      <w:r w:rsidRPr="000C6D45">
        <w:t xml:space="preserve"> and over</w:t>
      </w:r>
      <w:r w:rsidR="008B16BB">
        <w:t>-</w:t>
      </w:r>
      <w:r w:rsidRPr="000C6D45">
        <w:t xml:space="preserve"> forecasting, </w:t>
      </w:r>
      <w:r w:rsidR="0041622A">
        <w:t xml:space="preserve">the historic forecasts used to educate the BBN include both under- and over-forecasting. </w:t>
      </w:r>
    </w:p>
    <w:p w14:paraId="0B2C73E2" w14:textId="77777777" w:rsidR="00AD6F0F" w:rsidRDefault="00C35FA8" w:rsidP="000C6D45">
      <w:pPr>
        <w:pStyle w:val="BodyText"/>
      </w:pPr>
      <w:r>
        <w:t xml:space="preserve">As regards ERM Power’s concern </w:t>
      </w:r>
      <w:r w:rsidR="00980A46">
        <w:t>that a</w:t>
      </w:r>
      <w:r>
        <w:t xml:space="preserve"> strong over forecasting bias in historic data for demand </w:t>
      </w:r>
      <w:r w:rsidR="00980A46">
        <w:t xml:space="preserve">forecasts might result in an over estimation of errors with negative implications, </w:t>
      </w:r>
      <w:r w:rsidR="00AD6F0F">
        <w:t>it should be noted that:</w:t>
      </w:r>
    </w:p>
    <w:p w14:paraId="578BB2DC" w14:textId="29F7469B" w:rsidR="00AD6F0F" w:rsidRDefault="00980A46" w:rsidP="0041622A">
      <w:pPr>
        <w:pStyle w:val="ListBullet"/>
      </w:pPr>
      <w:r w:rsidRPr="00980A46">
        <w:t>The process is based on assessment of historic performance in reserve forecasting and assumes that this same performance will continue to apply in the immediate f</w:t>
      </w:r>
      <w:r w:rsidR="00AD6F0F">
        <w:t>uture</w:t>
      </w:r>
      <w:r w:rsidRPr="00980A46">
        <w:t xml:space="preserve">. </w:t>
      </w:r>
    </w:p>
    <w:p w14:paraId="751E974F" w14:textId="77777777" w:rsidR="00AD6F0F" w:rsidRDefault="00980A46" w:rsidP="0041622A">
      <w:pPr>
        <w:pStyle w:val="ListBullet"/>
      </w:pPr>
      <w:r w:rsidRPr="00980A46">
        <w:t xml:space="preserve">Any subsequent improvements in forecasting performance would tend to result in reduced FUM values when the quarterly retraining occurs. </w:t>
      </w:r>
    </w:p>
    <w:p w14:paraId="764F0A8B" w14:textId="15EE77BF" w:rsidR="00980A46" w:rsidRPr="00980A46" w:rsidRDefault="00AD6F0F" w:rsidP="0041622A">
      <w:pPr>
        <w:pStyle w:val="ListBullet"/>
      </w:pPr>
      <w:r>
        <w:t>T</w:t>
      </w:r>
      <w:r w:rsidR="00980A46" w:rsidRPr="00980A46">
        <w:t>here would be necessarily some lag</w:t>
      </w:r>
      <w:r>
        <w:t xml:space="preserve"> in the correction process</w:t>
      </w:r>
      <w:r w:rsidR="00980A46" w:rsidRPr="00980A46">
        <w:t xml:space="preserve">. </w:t>
      </w:r>
    </w:p>
    <w:p w14:paraId="00C5C709" w14:textId="1C032630" w:rsidR="00980A46" w:rsidRPr="00C35FA8" w:rsidRDefault="00AD6F0F" w:rsidP="00EA127F">
      <w:pPr>
        <w:pStyle w:val="BodyText"/>
        <w:rPr>
          <w:rFonts w:ascii="Calibri" w:eastAsia="Times New Roman" w:hAnsi="Calibri"/>
          <w:color w:val="1F497D"/>
          <w:szCs w:val="22"/>
        </w:rPr>
      </w:pPr>
      <w:r>
        <w:t xml:space="preserve">In response to </w:t>
      </w:r>
      <w:r w:rsidR="00980A46" w:rsidRPr="00980A46">
        <w:t xml:space="preserve">ERM Power’s </w:t>
      </w:r>
      <w:r>
        <w:t xml:space="preserve">request for publication of </w:t>
      </w:r>
      <w:r w:rsidR="00980A46" w:rsidRPr="00980A46">
        <w:t xml:space="preserve">data indicating the probability of under and over forecasting by AEMO systems, AEMO </w:t>
      </w:r>
      <w:r w:rsidR="00B11D62">
        <w:t xml:space="preserve">will </w:t>
      </w:r>
      <w:r w:rsidR="00B11D62" w:rsidRPr="00980A46">
        <w:t>publish</w:t>
      </w:r>
      <w:r w:rsidR="00980A46" w:rsidRPr="00980A46">
        <w:t xml:space="preserve"> </w:t>
      </w:r>
      <w:r w:rsidR="0083186A">
        <w:t xml:space="preserve">examples of </w:t>
      </w:r>
      <w:r w:rsidR="00980A46" w:rsidRPr="00980A46">
        <w:t>the historic probability distributions of demand, intermittent gen</w:t>
      </w:r>
      <w:r w:rsidR="00C878DE">
        <w:t>eration</w:t>
      </w:r>
      <w:r w:rsidR="00980A46" w:rsidRPr="00980A46">
        <w:t xml:space="preserve"> and generator availability </w:t>
      </w:r>
      <w:r w:rsidR="0030736B">
        <w:t xml:space="preserve">for each region </w:t>
      </w:r>
      <w:r>
        <w:t xml:space="preserve">for </w:t>
      </w:r>
      <w:r w:rsidR="0030736B">
        <w:t>a number of forecasting horizons</w:t>
      </w:r>
      <w:r w:rsidR="0083186A">
        <w:t xml:space="preserve"> in this report</w:t>
      </w:r>
      <w:r w:rsidR="0030736B">
        <w:t xml:space="preserve">. </w:t>
      </w:r>
    </w:p>
    <w:p w14:paraId="49F17A9E" w14:textId="77777777" w:rsidR="00C35FA8" w:rsidRDefault="00C35FA8" w:rsidP="00C35FA8">
      <w:pPr>
        <w:pStyle w:val="Heading3"/>
      </w:pPr>
      <w:r>
        <w:t xml:space="preserve">AEMO’s conclusion </w:t>
      </w:r>
    </w:p>
    <w:p w14:paraId="07B66858" w14:textId="36B70AE5" w:rsidR="00980A46" w:rsidRPr="000C6D45" w:rsidRDefault="00F52AC0" w:rsidP="000C6D45">
      <w:pPr>
        <w:pStyle w:val="BodyText"/>
      </w:pPr>
      <w:r>
        <w:t xml:space="preserve">The Guidelines will include additional </w:t>
      </w:r>
      <w:r w:rsidR="00980A46" w:rsidRPr="000C6D45">
        <w:t xml:space="preserve">details of input data </w:t>
      </w:r>
      <w:r w:rsidR="00AD6F0F">
        <w:t xml:space="preserve">for the BBN </w:t>
      </w:r>
      <w:r w:rsidR="00980A46" w:rsidRPr="000C6D45">
        <w:t xml:space="preserve">and the associated assumptions. </w:t>
      </w:r>
    </w:p>
    <w:p w14:paraId="679F3FB5" w14:textId="2FCD0E87" w:rsidR="00980A46" w:rsidRPr="000C6D45" w:rsidRDefault="00980A46" w:rsidP="000C6D45">
      <w:pPr>
        <w:pStyle w:val="BodyText"/>
      </w:pPr>
      <w:r w:rsidRPr="000C6D45">
        <w:t xml:space="preserve">AEMO </w:t>
      </w:r>
      <w:r w:rsidR="00F52AC0">
        <w:t xml:space="preserve">considers the </w:t>
      </w:r>
      <w:r w:rsidRPr="000C6D45">
        <w:t xml:space="preserve">current approach adequately addresses </w:t>
      </w:r>
      <w:r w:rsidR="00F52AC0">
        <w:t xml:space="preserve">concerns about </w:t>
      </w:r>
      <w:r w:rsidR="00F52AC0" w:rsidRPr="000C6D45">
        <w:t>periods of over and under forecasting</w:t>
      </w:r>
      <w:r w:rsidR="00F52AC0">
        <w:t>, and accordingly no further changes are required</w:t>
      </w:r>
      <w:r w:rsidRPr="000C6D45">
        <w:t xml:space="preserve">. </w:t>
      </w:r>
    </w:p>
    <w:p w14:paraId="1F14051C" w14:textId="698EE20D" w:rsidR="00980A46" w:rsidRPr="000C6D45" w:rsidRDefault="00F52AC0" w:rsidP="000C6D45">
      <w:pPr>
        <w:pStyle w:val="BodyText"/>
      </w:pPr>
      <w:r>
        <w:t xml:space="preserve">For stakeholder information, </w:t>
      </w:r>
      <w:r w:rsidR="00980A46" w:rsidRPr="000C6D45">
        <w:t xml:space="preserve">AEMO </w:t>
      </w:r>
      <w:r w:rsidR="00C878DE" w:rsidRPr="000C6D45">
        <w:t xml:space="preserve">has provided examples of error distributions in </w:t>
      </w:r>
      <w:r>
        <w:t>Appendix C</w:t>
      </w:r>
      <w:r w:rsidR="00C878DE" w:rsidRPr="000C6D45">
        <w:t xml:space="preserve"> of </w:t>
      </w:r>
      <w:r w:rsidR="008B16BB">
        <w:br/>
      </w:r>
      <w:r w:rsidR="00C878DE" w:rsidRPr="000C6D45">
        <w:t xml:space="preserve">this report. </w:t>
      </w:r>
    </w:p>
    <w:p w14:paraId="364BB3ED" w14:textId="39FD0EBE" w:rsidR="00C35FA8" w:rsidRDefault="00C878DE" w:rsidP="00C878DE">
      <w:pPr>
        <w:pStyle w:val="Heading2"/>
      </w:pPr>
      <w:bookmarkStart w:id="12" w:name="_Toc501453657"/>
      <w:r>
        <w:t>Confidence levels for FUM</w:t>
      </w:r>
      <w:bookmarkEnd w:id="12"/>
    </w:p>
    <w:p w14:paraId="6BFAF354" w14:textId="6244B573" w:rsidR="00C878DE" w:rsidRDefault="00C878DE" w:rsidP="00C878DE">
      <w:pPr>
        <w:pStyle w:val="Heading3"/>
      </w:pPr>
      <w:r>
        <w:t>Issue summary</w:t>
      </w:r>
    </w:p>
    <w:p w14:paraId="3FECB2E9" w14:textId="49071AAD" w:rsidR="00C878DE" w:rsidRPr="00EA127F" w:rsidRDefault="00C878DE" w:rsidP="00EA127F">
      <w:pPr>
        <w:pStyle w:val="BodyText"/>
      </w:pPr>
      <w:r w:rsidRPr="00EA127F">
        <w:t xml:space="preserve">In the </w:t>
      </w:r>
      <w:r w:rsidR="00F52AC0">
        <w:t xml:space="preserve">consultation </w:t>
      </w:r>
      <w:r w:rsidRPr="00EA127F">
        <w:t xml:space="preserve">draft of the Guidelines, AEMO suggested that the confidence level chosen for the FUM would be a single level for all </w:t>
      </w:r>
      <w:r w:rsidR="00CD39C5" w:rsidRPr="00EA127F">
        <w:t xml:space="preserve">regions and </w:t>
      </w:r>
      <w:r w:rsidR="00A234F9">
        <w:t>forecast</w:t>
      </w:r>
      <w:r w:rsidR="00886E13">
        <w:t>ing</w:t>
      </w:r>
      <w:r w:rsidR="00A234F9">
        <w:t xml:space="preserve"> </w:t>
      </w:r>
      <w:r w:rsidR="00CD39C5" w:rsidRPr="00EA127F">
        <w:t>timeframes</w:t>
      </w:r>
      <w:r w:rsidR="00F52AC0">
        <w:t xml:space="preserve">. The draft </w:t>
      </w:r>
      <w:r w:rsidRPr="00EA127F">
        <w:t xml:space="preserve">did not </w:t>
      </w:r>
      <w:r w:rsidR="00F52AC0">
        <w:t xml:space="preserve">include </w:t>
      </w:r>
      <w:r w:rsidRPr="00EA127F">
        <w:t>details o</w:t>
      </w:r>
      <w:r w:rsidR="00F52AC0">
        <w:t>f</w:t>
      </w:r>
      <w:r w:rsidRPr="00EA127F">
        <w:t xml:space="preserve"> how this confidenc</w:t>
      </w:r>
      <w:r w:rsidR="00CD39C5" w:rsidRPr="00EA127F">
        <w:t>e level would be chosen</w:t>
      </w:r>
      <w:r w:rsidRPr="00EA127F">
        <w:t>.</w:t>
      </w:r>
    </w:p>
    <w:p w14:paraId="6F704375" w14:textId="4130B731" w:rsidR="00447032" w:rsidRPr="00EA127F" w:rsidRDefault="00447032" w:rsidP="00EA127F">
      <w:pPr>
        <w:pStyle w:val="BodyText"/>
      </w:pPr>
      <w:r w:rsidRPr="00EA127F">
        <w:t>ERM Power expressed concern regarding the initial</w:t>
      </w:r>
      <w:r w:rsidR="00F52AC0">
        <w:t xml:space="preserve"> draft</w:t>
      </w:r>
      <w:r w:rsidRPr="00EA127F">
        <w:t xml:space="preserve"> proposal to use </w:t>
      </w:r>
      <w:r w:rsidR="00A234F9">
        <w:t xml:space="preserve">a </w:t>
      </w:r>
      <w:r w:rsidRPr="00EA127F">
        <w:t>97% confidence level for all forecasting timeframes. ERM proposed for consideration a confidence level which reduces with increasing forecasting horizon</w:t>
      </w:r>
      <w:r w:rsidR="00A234F9">
        <w:t>s</w:t>
      </w:r>
      <w:r w:rsidR="008B16BB">
        <w:t xml:space="preserve"> – </w:t>
      </w:r>
      <w:r w:rsidRPr="00EA127F">
        <w:t xml:space="preserve">from 97% for </w:t>
      </w:r>
      <w:r w:rsidR="008B16BB">
        <w:t>six hours</w:t>
      </w:r>
      <w:r w:rsidRPr="00EA127F">
        <w:t xml:space="preserve"> or less to 90% for </w:t>
      </w:r>
      <w:r w:rsidR="00F63892">
        <w:t>twenty</w:t>
      </w:r>
      <w:r w:rsidR="00D73E3D">
        <w:t xml:space="preserve"> four </w:t>
      </w:r>
      <w:r w:rsidR="008B16BB">
        <w:t>hours</w:t>
      </w:r>
      <w:r w:rsidR="008B16BB" w:rsidRPr="00EA127F">
        <w:t xml:space="preserve"> </w:t>
      </w:r>
      <w:r w:rsidRPr="00EA127F">
        <w:t>or more</w:t>
      </w:r>
      <w:r w:rsidR="00A234F9">
        <w:t>.</w:t>
      </w:r>
    </w:p>
    <w:p w14:paraId="18FF9AD7" w14:textId="77777777" w:rsidR="00C878DE" w:rsidRDefault="00C878DE" w:rsidP="00C878DE">
      <w:pPr>
        <w:pStyle w:val="Heading3"/>
      </w:pPr>
      <w:r>
        <w:t xml:space="preserve">AEMO’s assessment </w:t>
      </w:r>
    </w:p>
    <w:p w14:paraId="36DCB106" w14:textId="2705729E" w:rsidR="00A234F9" w:rsidRDefault="00447032" w:rsidP="00EA127F">
      <w:pPr>
        <w:pStyle w:val="BodyText"/>
      </w:pPr>
      <w:r w:rsidRPr="00EA127F">
        <w:t xml:space="preserve">AEMO </w:t>
      </w:r>
      <w:r w:rsidR="00A234F9">
        <w:t xml:space="preserve">noted that the 97% confidence level proposed in the draft Guidelines was preliminary and subject to ongoing analysis. AEMO is also cognisant of </w:t>
      </w:r>
      <w:r w:rsidRPr="00EA127F">
        <w:t xml:space="preserve">the need to establish clear principles for the selection of appropriate confidence levels to be used in the determination of FUM. </w:t>
      </w:r>
    </w:p>
    <w:p w14:paraId="217ECD2D" w14:textId="2D4DF30E" w:rsidR="00447032" w:rsidRPr="00EA127F" w:rsidRDefault="00447032" w:rsidP="00EA127F">
      <w:pPr>
        <w:pStyle w:val="BodyText"/>
      </w:pPr>
      <w:r w:rsidRPr="00EA127F">
        <w:t xml:space="preserve">It </w:t>
      </w:r>
      <w:r w:rsidR="009A2C7B">
        <w:t xml:space="preserve">has </w:t>
      </w:r>
      <w:r w:rsidRPr="00EA127F">
        <w:t xml:space="preserve">now </w:t>
      </w:r>
      <w:r w:rsidR="00A234F9">
        <w:t xml:space="preserve">become </w:t>
      </w:r>
      <w:r w:rsidRPr="00EA127F">
        <w:t>clear</w:t>
      </w:r>
      <w:r w:rsidR="00A234F9">
        <w:t xml:space="preserve"> from further analysis </w:t>
      </w:r>
      <w:r w:rsidRPr="00EA127F">
        <w:t xml:space="preserve">that the application of these principles will require the confidence level chosen to vary between forecasting </w:t>
      </w:r>
      <w:r w:rsidR="008B507E" w:rsidRPr="00EA127F">
        <w:t>horizons</w:t>
      </w:r>
      <w:r w:rsidR="008B507E">
        <w:t>, as ERM suggests,</w:t>
      </w:r>
      <w:r w:rsidR="00DF203F">
        <w:t xml:space="preserve"> and potentially between NEM regions</w:t>
      </w:r>
      <w:r w:rsidRPr="00EA127F">
        <w:t>.</w:t>
      </w:r>
    </w:p>
    <w:p w14:paraId="61060B4F" w14:textId="77777777" w:rsidR="00C878DE" w:rsidRDefault="00C878DE" w:rsidP="00C878DE">
      <w:pPr>
        <w:pStyle w:val="Heading3"/>
      </w:pPr>
      <w:r>
        <w:t xml:space="preserve">AEMO’s conclusion </w:t>
      </w:r>
    </w:p>
    <w:p w14:paraId="37045013" w14:textId="68DB67DA" w:rsidR="00447032" w:rsidRPr="00447032" w:rsidRDefault="00447032" w:rsidP="00447032">
      <w:pPr>
        <w:pStyle w:val="BodyText"/>
      </w:pPr>
      <w:r>
        <w:t xml:space="preserve">AEMO </w:t>
      </w:r>
      <w:r w:rsidR="00A234F9">
        <w:t xml:space="preserve">has included </w:t>
      </w:r>
      <w:r>
        <w:t xml:space="preserve">the principles used for selection of the confidence levels in the </w:t>
      </w:r>
      <w:r w:rsidRPr="00A234F9">
        <w:t>Guidelines</w:t>
      </w:r>
      <w:r>
        <w:t xml:space="preserve">. </w:t>
      </w:r>
      <w:r w:rsidR="008B16BB">
        <w:br/>
      </w:r>
      <w:r>
        <w:t xml:space="preserve">Section 5 of this report details how the initial choice of confidence levels has been made. </w:t>
      </w:r>
      <w:r w:rsidR="008B16BB">
        <w:t xml:space="preserve">These </w:t>
      </w:r>
      <w:r>
        <w:t xml:space="preserve">initial </w:t>
      </w:r>
      <w:r w:rsidR="00886E13">
        <w:t xml:space="preserve">confidence levels are </w:t>
      </w:r>
      <w:r>
        <w:t xml:space="preserve">recorded in the </w:t>
      </w:r>
      <w:r w:rsidRPr="000F5C91">
        <w:t>Guidelines</w:t>
      </w:r>
      <w:r w:rsidR="00886E13">
        <w:t xml:space="preserve"> for each NEM region and forecasting horizon</w:t>
      </w:r>
      <w:r w:rsidR="000F5C91">
        <w:t xml:space="preserve">, and will be subject to regular review </w:t>
      </w:r>
      <w:r w:rsidR="00ED5548">
        <w:t>(at least annually)</w:t>
      </w:r>
      <w:r w:rsidR="00ED5548">
        <w:rPr>
          <w:rStyle w:val="FootnoteReference"/>
        </w:rPr>
        <w:footnoteReference w:id="3"/>
      </w:r>
      <w:r w:rsidR="00ED5548">
        <w:t xml:space="preserve"> </w:t>
      </w:r>
      <w:r w:rsidR="000F5C91">
        <w:t>in accordance with the specified principles</w:t>
      </w:r>
      <w:r>
        <w:t xml:space="preserve">. </w:t>
      </w:r>
      <w:r w:rsidR="000F5C91">
        <w:t>As with all amendments to the Guidelines, c</w:t>
      </w:r>
      <w:r>
        <w:t>hanges to the</w:t>
      </w:r>
      <w:r w:rsidR="000F5C91">
        <w:t xml:space="preserve"> confidence</w:t>
      </w:r>
      <w:r>
        <w:t xml:space="preserve"> levels will </w:t>
      </w:r>
      <w:r w:rsidR="000F5C91">
        <w:t xml:space="preserve">only be made </w:t>
      </w:r>
      <w:r>
        <w:t xml:space="preserve">following the consultation process set out in </w:t>
      </w:r>
      <w:r w:rsidR="000F5C91">
        <w:t>c</w:t>
      </w:r>
      <w:r>
        <w:t xml:space="preserve">lause </w:t>
      </w:r>
      <w:r w:rsidR="0083186A">
        <w:t>4.8.4A (</w:t>
      </w:r>
      <w:r w:rsidR="000F5C91">
        <w:t>e</w:t>
      </w:r>
      <w:r>
        <w:t>)</w:t>
      </w:r>
      <w:r w:rsidR="000F5C91">
        <w:t xml:space="preserve"> of the NER</w:t>
      </w:r>
      <w:r>
        <w:t>.</w:t>
      </w:r>
    </w:p>
    <w:p w14:paraId="3E5C8556" w14:textId="4A9F1B01" w:rsidR="00C878DE" w:rsidRDefault="00865521" w:rsidP="00447032">
      <w:pPr>
        <w:pStyle w:val="Heading2"/>
      </w:pPr>
      <w:bookmarkStart w:id="13" w:name="_Toc501453658"/>
      <w:r>
        <w:t>Relevant c</w:t>
      </w:r>
      <w:r w:rsidR="00CD39C5">
        <w:t>redible</w:t>
      </w:r>
      <w:r w:rsidR="00447032">
        <w:t xml:space="preserve"> </w:t>
      </w:r>
      <w:r>
        <w:t>contingency events</w:t>
      </w:r>
      <w:bookmarkEnd w:id="13"/>
    </w:p>
    <w:p w14:paraId="33B838CD" w14:textId="00F1F2A5" w:rsidR="00493E53" w:rsidRDefault="00493E53" w:rsidP="00493E53">
      <w:pPr>
        <w:pStyle w:val="Heading3"/>
      </w:pPr>
      <w:r>
        <w:t>Issue summary</w:t>
      </w:r>
    </w:p>
    <w:p w14:paraId="71EB1E46" w14:textId="3CA4A590" w:rsidR="00493E53" w:rsidRPr="000C6D45" w:rsidRDefault="00493E53" w:rsidP="000C6D45">
      <w:pPr>
        <w:pStyle w:val="BodyText"/>
      </w:pPr>
      <w:r w:rsidRPr="000C6D45">
        <w:t xml:space="preserve">In its submission ERM </w:t>
      </w:r>
      <w:r w:rsidR="00FA2D2A">
        <w:t>said</w:t>
      </w:r>
      <w:r w:rsidRPr="000C6D45">
        <w:t xml:space="preserve"> the Guideline</w:t>
      </w:r>
      <w:r w:rsidR="00EA127F" w:rsidRPr="000C6D45">
        <w:t>s</w:t>
      </w:r>
      <w:r w:rsidRPr="000C6D45">
        <w:t xml:space="preserve"> </w:t>
      </w:r>
      <w:r w:rsidR="00EA127F" w:rsidRPr="000C6D45">
        <w:t xml:space="preserve">should </w:t>
      </w:r>
      <w:r w:rsidRPr="000C6D45">
        <w:t>require AEMO to issue a market notice when the size of the standard or normal credible contingency event used to determine LCR or LCR2 is altered or reverted to for any region.</w:t>
      </w:r>
    </w:p>
    <w:p w14:paraId="204072B2" w14:textId="1D26D81C" w:rsidR="00CD39C5" w:rsidRPr="000C6D45" w:rsidRDefault="00CD39C5" w:rsidP="000C6D45">
      <w:pPr>
        <w:pStyle w:val="BodyText"/>
      </w:pPr>
      <w:r w:rsidRPr="000C6D45">
        <w:t xml:space="preserve">ENGIE stated that AEMO should define the term “relevant contingency events “used in </w:t>
      </w:r>
      <w:r w:rsidR="00FA2D2A">
        <w:t>s</w:t>
      </w:r>
      <w:r w:rsidRPr="000C6D45">
        <w:t>ection</w:t>
      </w:r>
      <w:r w:rsidR="003B618F">
        <w:t xml:space="preserve"> </w:t>
      </w:r>
      <w:r w:rsidRPr="000C6D45">
        <w:t xml:space="preserve">4 of the draft Guidelines. </w:t>
      </w:r>
    </w:p>
    <w:p w14:paraId="63E21BAB" w14:textId="0DF258C2" w:rsidR="00CD39C5" w:rsidRPr="000C6D45" w:rsidRDefault="00CD39C5" w:rsidP="000C6D45">
      <w:pPr>
        <w:pStyle w:val="BodyText"/>
      </w:pPr>
      <w:r w:rsidRPr="000C6D45">
        <w:t xml:space="preserve">ENGIE requested that the method of updating the list of </w:t>
      </w:r>
      <w:r w:rsidR="00865521" w:rsidRPr="000C6D45">
        <w:t>relevant contingency events</w:t>
      </w:r>
      <w:r w:rsidRPr="000C6D45">
        <w:t xml:space="preserve"> be specified in the Guideline</w:t>
      </w:r>
      <w:r w:rsidR="002D3953">
        <w:t>s</w:t>
      </w:r>
      <w:r w:rsidR="00865521" w:rsidRPr="000C6D45">
        <w:t xml:space="preserve">. ENGIE expressed a preference that the list be updated dynamically. </w:t>
      </w:r>
    </w:p>
    <w:p w14:paraId="49D6159A" w14:textId="225039A1" w:rsidR="0093410F" w:rsidRPr="000C6D45" w:rsidRDefault="00865521" w:rsidP="000C6D45">
      <w:pPr>
        <w:pStyle w:val="BodyText"/>
      </w:pPr>
      <w:r w:rsidRPr="000C6D45">
        <w:t xml:space="preserve">ENGIE also suggested that the terminology currently proposed for these events </w:t>
      </w:r>
      <w:r w:rsidR="0093410F" w:rsidRPr="000C6D45">
        <w:t>(LCR and</w:t>
      </w:r>
      <w:r w:rsidRPr="000C6D45">
        <w:t xml:space="preserve"> LCR2) was confusing and should be replaced by </w:t>
      </w:r>
      <w:r w:rsidR="0093410F" w:rsidRPr="000C6D45">
        <w:t>SCR (single credible contingency) and DCR (double credible contingency) respectively. ENGI</w:t>
      </w:r>
      <w:r w:rsidR="002D3953">
        <w:t>E</w:t>
      </w:r>
      <w:r w:rsidR="0093410F" w:rsidRPr="000C6D45">
        <w:t xml:space="preserve"> also pointed out that an undefined term </w:t>
      </w:r>
      <w:r w:rsidR="00683982">
        <w:t>‘</w:t>
      </w:r>
      <w:r w:rsidR="0093410F" w:rsidRPr="000C6D45">
        <w:t>LCR1</w:t>
      </w:r>
      <w:r w:rsidR="00683982">
        <w:t>’</w:t>
      </w:r>
      <w:r w:rsidR="0093410F" w:rsidRPr="000C6D45">
        <w:t xml:space="preserve"> is used in </w:t>
      </w:r>
      <w:r w:rsidR="002D3953">
        <w:t>s</w:t>
      </w:r>
      <w:r w:rsidR="0093410F" w:rsidRPr="000C6D45">
        <w:t>ection 5.2</w:t>
      </w:r>
      <w:r w:rsidR="00683982">
        <w:t xml:space="preserve"> of the draft Guidelines</w:t>
      </w:r>
      <w:r w:rsidR="0093410F" w:rsidRPr="000C6D45">
        <w:t xml:space="preserve">. </w:t>
      </w:r>
    </w:p>
    <w:p w14:paraId="5384140A" w14:textId="77777777" w:rsidR="00493E53" w:rsidRDefault="00493E53" w:rsidP="00493E53">
      <w:pPr>
        <w:pStyle w:val="Heading3"/>
      </w:pPr>
      <w:r>
        <w:t xml:space="preserve">AEMO’s assessment </w:t>
      </w:r>
    </w:p>
    <w:p w14:paraId="25A326CF" w14:textId="0206EAB7" w:rsidR="00493E53" w:rsidRPr="00EA127F" w:rsidRDefault="00886E13" w:rsidP="00EA127F">
      <w:pPr>
        <w:pStyle w:val="BodyText"/>
      </w:pPr>
      <w:r>
        <w:t>T</w:t>
      </w:r>
      <w:r w:rsidR="00493E53" w:rsidRPr="00EA127F">
        <w:t xml:space="preserve">he LCR and LCR2 values are determined </w:t>
      </w:r>
      <w:r>
        <w:t>based on</w:t>
      </w:r>
      <w:r w:rsidR="00493E53" w:rsidRPr="00EA127F">
        <w:t xml:space="preserve"> system conditions according to the principles set out in the document </w:t>
      </w:r>
      <w:r w:rsidR="00B1725D" w:rsidRPr="00B1725D">
        <w:rPr>
          <w:i/>
        </w:rPr>
        <w:t>Lack of Reserve Contingency List</w:t>
      </w:r>
      <w:r w:rsidR="00BE218B">
        <w:t>,</w:t>
      </w:r>
      <w:r w:rsidR="00B1725D" w:rsidRPr="00B1725D">
        <w:t xml:space="preserve"> </w:t>
      </w:r>
      <w:r w:rsidR="00B1725D" w:rsidRPr="00EA127F">
        <w:t>which</w:t>
      </w:r>
      <w:r w:rsidR="000C498A" w:rsidRPr="00EA127F">
        <w:t xml:space="preserve"> </w:t>
      </w:r>
      <w:r>
        <w:t xml:space="preserve">will be published with </w:t>
      </w:r>
      <w:r w:rsidR="000C498A" w:rsidRPr="00EA127F">
        <w:t xml:space="preserve">the </w:t>
      </w:r>
      <w:r w:rsidR="000C498A" w:rsidRPr="00886E13">
        <w:t>Guideline</w:t>
      </w:r>
      <w:r w:rsidR="00B1725D" w:rsidRPr="00886E13">
        <w:t>s</w:t>
      </w:r>
      <w:r w:rsidR="000C498A" w:rsidRPr="00886E13">
        <w:t>.</w:t>
      </w:r>
      <w:r w:rsidR="000C498A" w:rsidRPr="00EA127F">
        <w:t xml:space="preserve"> </w:t>
      </w:r>
      <w:r w:rsidR="00A816C9">
        <w:t>The actual value</w:t>
      </w:r>
      <w:r w:rsidR="00BE218B">
        <w:t>s</w:t>
      </w:r>
      <w:r w:rsidR="00A816C9">
        <w:t xml:space="preserve"> of LCR and LCR2 will change automatically with changes in system conditions, making it impractical to publish market notices each time. Cases where </w:t>
      </w:r>
      <w:r w:rsidR="000C498A" w:rsidRPr="00EA127F">
        <w:t>these automatic values need to be overridden by manual entries</w:t>
      </w:r>
      <w:r w:rsidR="00A816C9">
        <w:t xml:space="preserve"> are discussed in more detail below</w:t>
      </w:r>
      <w:r w:rsidR="000C498A" w:rsidRPr="00EA127F">
        <w:t xml:space="preserve">.   </w:t>
      </w:r>
    </w:p>
    <w:p w14:paraId="4212BD91" w14:textId="5A8C2A7C" w:rsidR="00DD7D2F" w:rsidRDefault="00865521" w:rsidP="00EA127F">
      <w:pPr>
        <w:pStyle w:val="BodyText"/>
      </w:pPr>
      <w:r w:rsidRPr="00EA127F">
        <w:t xml:space="preserve">As regards the definition of “relevant contingency events” raised by ENGIE, AEMO </w:t>
      </w:r>
      <w:r w:rsidR="00886E13">
        <w:t xml:space="preserve">considers that this will be sufficiently </w:t>
      </w:r>
      <w:r w:rsidR="0036393F">
        <w:t>defined through the publication of the contingency list.</w:t>
      </w:r>
      <w:r w:rsidR="00594550">
        <w:t xml:space="preserve"> </w:t>
      </w:r>
      <w:r w:rsidRPr="00EA127F">
        <w:t>AEMO agrees that the process for updating of th</w:t>
      </w:r>
      <w:r w:rsidR="00886E13">
        <w:t xml:space="preserve">e contingency </w:t>
      </w:r>
      <w:r w:rsidRPr="00EA127F">
        <w:t xml:space="preserve">list needs to be defined. </w:t>
      </w:r>
    </w:p>
    <w:p w14:paraId="285DE716" w14:textId="4E46AF76" w:rsidR="00DD7D2F" w:rsidRDefault="00DD7D2F" w:rsidP="00DD7D2F">
      <w:pPr>
        <w:pStyle w:val="BodyText"/>
      </w:pPr>
      <w:r>
        <w:t>Most situations where unusual values of LCR and LCR2 will be used will be temporary changes</w:t>
      </w:r>
      <w:r w:rsidR="00886E13">
        <w:t xml:space="preserve"> resulting from:</w:t>
      </w:r>
    </w:p>
    <w:p w14:paraId="3576F003" w14:textId="3C6773EF" w:rsidR="00DD7D2F" w:rsidRDefault="00886E13" w:rsidP="000C6D45">
      <w:pPr>
        <w:pStyle w:val="ListBullet"/>
      </w:pPr>
      <w:r>
        <w:t>R</w:t>
      </w:r>
      <w:r w:rsidR="00DD7D2F">
        <w:t xml:space="preserve">eclassification of a non-credible contingency </w:t>
      </w:r>
      <w:r>
        <w:t>event as credible. In these</w:t>
      </w:r>
      <w:r w:rsidR="00DD7D2F">
        <w:t xml:space="preserve"> case</w:t>
      </w:r>
      <w:r>
        <w:t>s</w:t>
      </w:r>
      <w:r w:rsidR="00DD7D2F">
        <w:t xml:space="preserve"> the market</w:t>
      </w:r>
      <w:r>
        <w:t xml:space="preserve"> is always</w:t>
      </w:r>
      <w:r w:rsidR="00DD7D2F">
        <w:t xml:space="preserve"> advised by a market notice under existing </w:t>
      </w:r>
      <w:r>
        <w:t>NER</w:t>
      </w:r>
      <w:r w:rsidR="00DD7D2F">
        <w:t xml:space="preserve"> requirements</w:t>
      </w:r>
      <w:r>
        <w:t>.</w:t>
      </w:r>
      <w:r w:rsidR="00DD7D2F">
        <w:t xml:space="preserve"> </w:t>
      </w:r>
    </w:p>
    <w:p w14:paraId="2EE285B2" w14:textId="667E3EFE" w:rsidR="00DD7D2F" w:rsidRDefault="00886E13" w:rsidP="000C6D45">
      <w:pPr>
        <w:pStyle w:val="ListBullet"/>
      </w:pPr>
      <w:r>
        <w:t>U</w:t>
      </w:r>
      <w:r w:rsidR="00DD7D2F">
        <w:t>nusual temporary operating conditions</w:t>
      </w:r>
      <w:r w:rsidR="0083186A">
        <w:rPr>
          <w:rStyle w:val="FootnoteReference"/>
        </w:rPr>
        <w:footnoteReference w:id="4"/>
      </w:r>
      <w:r w:rsidR="00BE218B">
        <w:t xml:space="preserve"> </w:t>
      </w:r>
      <w:r w:rsidR="00DD7D2F">
        <w:t xml:space="preserve">resulting </w:t>
      </w:r>
      <w:r>
        <w:t xml:space="preserve">in </w:t>
      </w:r>
      <w:r w:rsidR="00DD7D2F">
        <w:t>a situation which was not anticipated</w:t>
      </w:r>
      <w:r w:rsidR="00594550">
        <w:t xml:space="preserve">. </w:t>
      </w:r>
      <w:r w:rsidR="008B16BB">
        <w:t xml:space="preserve">It </w:t>
      </w:r>
      <w:r w:rsidR="00DD7D2F">
        <w:t>would be appropriate for AEMO to issue a market notice</w:t>
      </w:r>
      <w:r w:rsidR="00A816C9">
        <w:t xml:space="preserve"> where these circumstances require manual specification of LCR and LCR2 levels</w:t>
      </w:r>
      <w:r w:rsidR="00DD7D2F">
        <w:t xml:space="preserve">. </w:t>
      </w:r>
    </w:p>
    <w:p w14:paraId="025D68CB" w14:textId="62C61396" w:rsidR="00DD7D2F" w:rsidRPr="00DD7D2F" w:rsidRDefault="00DD7D2F" w:rsidP="00DD7D2F">
      <w:pPr>
        <w:pStyle w:val="BodyText"/>
      </w:pPr>
      <w:r>
        <w:t xml:space="preserve">Permanent changes to the contingency list would occur only if a new class of contingencies was added to the list. The </w:t>
      </w:r>
      <w:r w:rsidRPr="008C3EF1">
        <w:t xml:space="preserve">Guideline </w:t>
      </w:r>
      <w:r w:rsidRPr="00DF2772">
        <w:t xml:space="preserve">will need to </w:t>
      </w:r>
      <w:r w:rsidR="00BE218B">
        <w:t>include</w:t>
      </w:r>
      <w:r w:rsidRPr="00DF2772">
        <w:t xml:space="preserve"> a process to be followed in making such changes</w:t>
      </w:r>
      <w:r>
        <w:t>.</w:t>
      </w:r>
      <w:r w:rsidRPr="00DF2772">
        <w:t xml:space="preserve"> </w:t>
      </w:r>
      <w:r>
        <w:t xml:space="preserve">Such permanent changes are </w:t>
      </w:r>
      <w:r w:rsidR="00892E93">
        <w:t xml:space="preserve">expected to occur infrequently, although the list will change on completion of AEMO’s current Short Term Projected Assessment of System Adequacy (ST PASA) Solver redevelopment project. </w:t>
      </w:r>
      <w:bookmarkStart w:id="14" w:name="_GoBack"/>
      <w:bookmarkEnd w:id="14"/>
    </w:p>
    <w:p w14:paraId="1F987DC0" w14:textId="13711784" w:rsidR="00865521" w:rsidRPr="00EA127F" w:rsidRDefault="00DD7D2F" w:rsidP="0036393F">
      <w:pPr>
        <w:pStyle w:val="BodyText"/>
      </w:pPr>
      <w:r>
        <w:t xml:space="preserve">For the above reasons, </w:t>
      </w:r>
      <w:r w:rsidR="00865521" w:rsidRPr="00EA127F">
        <w:t>AEMO believes that dynamic update</w:t>
      </w:r>
      <w:r w:rsidR="008C3EF1">
        <w:t>s</w:t>
      </w:r>
      <w:r w:rsidR="00865521" w:rsidRPr="00EA127F">
        <w:t xml:space="preserve"> of th</w:t>
      </w:r>
      <w:r w:rsidR="008C3EF1">
        <w:t xml:space="preserve">e contingency events that are determining LCR and LCR2 </w:t>
      </w:r>
      <w:r w:rsidR="00992DFD">
        <w:t>can</w:t>
      </w:r>
      <w:r w:rsidR="008C3EF1">
        <w:t xml:space="preserve">not currently </w:t>
      </w:r>
      <w:r w:rsidR="00865521" w:rsidRPr="00EA127F">
        <w:t>be justified</w:t>
      </w:r>
      <w:r>
        <w:t>.</w:t>
      </w:r>
      <w:r w:rsidR="00865521" w:rsidRPr="00EA127F">
        <w:t xml:space="preserve"> </w:t>
      </w:r>
      <w:r w:rsidR="008C3EF1">
        <w:t xml:space="preserve">AEMO is willing to reconsider </w:t>
      </w:r>
      <w:r w:rsidR="0036393F">
        <w:t xml:space="preserve">this </w:t>
      </w:r>
      <w:r w:rsidR="00A16A2A">
        <w:t xml:space="preserve">in the future based upon operating experience. </w:t>
      </w:r>
    </w:p>
    <w:p w14:paraId="59AA580B" w14:textId="7FD12538" w:rsidR="0093410F" w:rsidRPr="00493E53" w:rsidRDefault="008C3EF1" w:rsidP="00EA127F">
      <w:pPr>
        <w:pStyle w:val="BodyText"/>
      </w:pPr>
      <w:r>
        <w:t>AEMO notes that the terms LCR and LCR2 are similar to LOR terms, but at this stage of development these terms cannot be changed in AEMO’s systems. AEMO may be able to accommodate terminology changes as suggested by ENGIE in a future release</w:t>
      </w:r>
      <w:r w:rsidR="00A16A2A">
        <w:t xml:space="preserve">. </w:t>
      </w:r>
    </w:p>
    <w:p w14:paraId="13D1C7CF" w14:textId="77777777" w:rsidR="00493E53" w:rsidRDefault="00493E53" w:rsidP="00493E53">
      <w:pPr>
        <w:pStyle w:val="Heading3"/>
      </w:pPr>
      <w:r>
        <w:t xml:space="preserve">AEMO’s conclusion </w:t>
      </w:r>
    </w:p>
    <w:p w14:paraId="2C632DA1" w14:textId="133B8144" w:rsidR="000C498A" w:rsidRDefault="008C3EF1" w:rsidP="000C498A">
      <w:pPr>
        <w:pStyle w:val="BodyText"/>
      </w:pPr>
      <w:r>
        <w:t>T</w:t>
      </w:r>
      <w:r w:rsidR="000C498A">
        <w:t xml:space="preserve">he </w:t>
      </w:r>
      <w:r w:rsidR="000C498A" w:rsidRPr="008C3EF1">
        <w:t>Guideline</w:t>
      </w:r>
      <w:r>
        <w:t>s</w:t>
      </w:r>
      <w:r w:rsidR="000C498A" w:rsidRPr="008C3EF1">
        <w:t xml:space="preserve"> </w:t>
      </w:r>
      <w:r w:rsidR="000C498A">
        <w:t>will require AEMO to issue a market notice to alert the market</w:t>
      </w:r>
      <w:r>
        <w:t xml:space="preserve"> </w:t>
      </w:r>
      <w:r w:rsidR="00BA03DB">
        <w:t xml:space="preserve">when </w:t>
      </w:r>
      <w:r>
        <w:t>the automatically calculated values of LCR and LCR2</w:t>
      </w:r>
      <w:r w:rsidR="00BA03DB">
        <w:t xml:space="preserve"> have been manually </w:t>
      </w:r>
      <w:r w:rsidR="00D32CA4">
        <w:t>overridden</w:t>
      </w:r>
      <w:r>
        <w:t>, where the market has not otherwise been notified of a reclassification</w:t>
      </w:r>
      <w:r w:rsidR="000C498A">
        <w:t xml:space="preserve">. </w:t>
      </w:r>
    </w:p>
    <w:p w14:paraId="53C2A1CA" w14:textId="6D957104" w:rsidR="0093410F" w:rsidRDefault="00865521" w:rsidP="000C498A">
      <w:pPr>
        <w:pStyle w:val="BodyText"/>
      </w:pPr>
      <w:r>
        <w:t xml:space="preserve">AEMO will specify </w:t>
      </w:r>
      <w:r w:rsidR="0093410F">
        <w:t xml:space="preserve">in </w:t>
      </w:r>
      <w:r w:rsidR="0036393F">
        <w:t xml:space="preserve">the </w:t>
      </w:r>
      <w:r w:rsidR="0036393F" w:rsidRPr="008C3EF1">
        <w:t>Guideline</w:t>
      </w:r>
      <w:r w:rsidR="008C3EF1">
        <w:t>s</w:t>
      </w:r>
      <w:r w:rsidR="0036393F" w:rsidRPr="008C3EF1">
        <w:t xml:space="preserve"> </w:t>
      </w:r>
      <w:r>
        <w:t>the circumstances under which th</w:t>
      </w:r>
      <w:r w:rsidR="0036393F">
        <w:t>e contingency</w:t>
      </w:r>
      <w:r>
        <w:t xml:space="preserve"> list will be updated</w:t>
      </w:r>
      <w:r w:rsidR="0036393F">
        <w:t xml:space="preserve"> and how this change will be advised to the market. </w:t>
      </w:r>
    </w:p>
    <w:p w14:paraId="457620BD" w14:textId="334FCF71" w:rsidR="004B5C8D" w:rsidRDefault="004B5C8D" w:rsidP="000C498A">
      <w:pPr>
        <w:pStyle w:val="BodyText"/>
      </w:pPr>
      <w:r>
        <w:t>The initial contingency list will set out two stages</w:t>
      </w:r>
    </w:p>
    <w:p w14:paraId="5FD2C155" w14:textId="59D39558" w:rsidR="004B5C8D" w:rsidRDefault="004B5C8D" w:rsidP="0046618F">
      <w:pPr>
        <w:pStyle w:val="BodyText"/>
        <w:numPr>
          <w:ilvl w:val="0"/>
          <w:numId w:val="44"/>
        </w:numPr>
      </w:pPr>
      <w:r>
        <w:t>The list applicable from 16 January until the new PASA Solver is implemented</w:t>
      </w:r>
    </w:p>
    <w:p w14:paraId="3EEB0961" w14:textId="00CE67E3" w:rsidR="004B5C8D" w:rsidRPr="000C498A" w:rsidRDefault="007E4948" w:rsidP="0046618F">
      <w:pPr>
        <w:pStyle w:val="BodyText"/>
        <w:numPr>
          <w:ilvl w:val="0"/>
          <w:numId w:val="44"/>
        </w:numPr>
      </w:pPr>
      <w:r>
        <w:t>The list</w:t>
      </w:r>
      <w:r w:rsidR="004B5C8D">
        <w:t xml:space="preserve"> applicable after the new PASA Solver is implemented. </w:t>
      </w:r>
    </w:p>
    <w:p w14:paraId="316A09FB" w14:textId="01AD8BB7" w:rsidR="00447032" w:rsidRDefault="00B8777A" w:rsidP="00B8777A">
      <w:pPr>
        <w:pStyle w:val="Heading2"/>
      </w:pPr>
      <w:bookmarkStart w:id="15" w:name="_Toc501453659"/>
      <w:r>
        <w:t>Alternative calculation of LOR1</w:t>
      </w:r>
      <w:bookmarkEnd w:id="15"/>
    </w:p>
    <w:p w14:paraId="77848CC8" w14:textId="77777777" w:rsidR="00B8777A" w:rsidRDefault="00B8777A" w:rsidP="00B8777A">
      <w:pPr>
        <w:pStyle w:val="Heading3"/>
      </w:pPr>
      <w:r>
        <w:t>Issue summary</w:t>
      </w:r>
    </w:p>
    <w:p w14:paraId="373209EE" w14:textId="7834F505" w:rsidR="00B8777A" w:rsidRDefault="00B8777A" w:rsidP="00B8777A">
      <w:pPr>
        <w:pStyle w:val="BodyText"/>
      </w:pPr>
      <w:r>
        <w:t>ERM Power proposed</w:t>
      </w:r>
      <w:r w:rsidR="00702367">
        <w:t xml:space="preserve"> </w:t>
      </w:r>
      <w:r>
        <w:t xml:space="preserve">an alternative definition of LOR1 as </w:t>
      </w:r>
      <w:r w:rsidR="00702367">
        <w:t>follows:</w:t>
      </w:r>
    </w:p>
    <w:p w14:paraId="15B3C40F" w14:textId="435EBFF4" w:rsidR="00B8777A" w:rsidRPr="00960075" w:rsidRDefault="00B8777A" w:rsidP="00B8777A">
      <w:pPr>
        <w:pStyle w:val="BodyText"/>
        <w:ind w:left="720"/>
        <w:rPr>
          <w:b/>
        </w:rPr>
      </w:pPr>
      <w:r w:rsidRPr="00960075">
        <w:rPr>
          <w:b/>
        </w:rPr>
        <w:t>LOR1 = Max (FUM, LCR2)</w:t>
      </w:r>
    </w:p>
    <w:p w14:paraId="578D63E9" w14:textId="253C1272" w:rsidR="00B8777A" w:rsidRPr="00B8777A" w:rsidRDefault="00B8777A" w:rsidP="00B8777A">
      <w:pPr>
        <w:pStyle w:val="BodyText"/>
      </w:pPr>
      <w:r w:rsidRPr="00B8777A">
        <w:t xml:space="preserve">ERM Power </w:t>
      </w:r>
      <w:r w:rsidR="00BA03DB">
        <w:t xml:space="preserve">was </w:t>
      </w:r>
      <w:r w:rsidRPr="00B8777A">
        <w:t>concern</w:t>
      </w:r>
      <w:r w:rsidR="00BA03DB">
        <w:t>ed</w:t>
      </w:r>
      <w:r w:rsidRPr="00B8777A">
        <w:t xml:space="preserve"> that </w:t>
      </w:r>
      <w:r w:rsidR="00BA03DB">
        <w:t xml:space="preserve">the </w:t>
      </w:r>
      <w:r w:rsidRPr="00B8777A">
        <w:t>formulation</w:t>
      </w:r>
      <w:r w:rsidR="00BA03DB">
        <w:t xml:space="preserve"> in the draft Guidelines would</w:t>
      </w:r>
      <w:r w:rsidRPr="00B8777A">
        <w:t xml:space="preserve"> mean that </w:t>
      </w:r>
      <w:r w:rsidR="00BA03DB">
        <w:t xml:space="preserve">the </w:t>
      </w:r>
      <w:r w:rsidRPr="00B8777A">
        <w:t xml:space="preserve">LOR1 level </w:t>
      </w:r>
      <w:r w:rsidR="00BA03DB">
        <w:t xml:space="preserve">is </w:t>
      </w:r>
      <w:r w:rsidRPr="00B8777A">
        <w:t>increased whenever FUM exceeds the LCR. ERM Power believes that this will result in double counting for the same level of capacity reserves already allowed for by the addition of the value for the second largest contingency reserve.</w:t>
      </w:r>
    </w:p>
    <w:p w14:paraId="7DE8B19E" w14:textId="77777777" w:rsidR="00B8777A" w:rsidRDefault="00B8777A" w:rsidP="00B8777A">
      <w:pPr>
        <w:pStyle w:val="Heading3"/>
      </w:pPr>
      <w:r>
        <w:t xml:space="preserve">AEMO’s assessment </w:t>
      </w:r>
    </w:p>
    <w:p w14:paraId="756A51AE" w14:textId="18251BF8" w:rsidR="00BA03DB" w:rsidRDefault="00B8777A" w:rsidP="00DF2772">
      <w:pPr>
        <w:pStyle w:val="BodyText"/>
      </w:pPr>
      <w:r>
        <w:t>AEMO a</w:t>
      </w:r>
      <w:r w:rsidR="00BA03DB">
        <w:t>ccepts</w:t>
      </w:r>
      <w:r>
        <w:t xml:space="preserve"> the reasoning behind ERM Power’s proposal. However it has the disadvantage, as acknowledged by ERM Power</w:t>
      </w:r>
      <w:r w:rsidR="008B16BB">
        <w:t>,</w:t>
      </w:r>
      <w:r>
        <w:t xml:space="preserve"> that there will be no difference between the LOR1 and LOR2 levels</w:t>
      </w:r>
      <w:r w:rsidR="00702367">
        <w:t xml:space="preserve"> under some circumstances</w:t>
      </w:r>
      <w:r>
        <w:t xml:space="preserve">. </w:t>
      </w:r>
      <w:r w:rsidR="00BA03DB">
        <w:t>A</w:t>
      </w:r>
      <w:r w:rsidR="000E588B">
        <w:t>s these circumstances will only emerge at times of very high forecast uncertainty and can be expected to be rare, A</w:t>
      </w:r>
      <w:r w:rsidR="00BA03DB">
        <w:t xml:space="preserve">EMO believes this disadvantage is outweighed by the benefits of the proposal. </w:t>
      </w:r>
    </w:p>
    <w:p w14:paraId="4149B30C" w14:textId="7292764A" w:rsidR="00BA03DB" w:rsidRDefault="00BA03DB" w:rsidP="00DF2772">
      <w:pPr>
        <w:pStyle w:val="BodyText"/>
      </w:pPr>
      <w:r>
        <w:t xml:space="preserve">AEMO also considered whether the ERM proposal will remain consistent with the principle expressed in the Rule that the LOR1, LOR2 and LOR3 probability levels should indicate an increasing probability of involuntary load shedding. </w:t>
      </w:r>
      <w:r w:rsidR="00DE6045">
        <w:t>T</w:t>
      </w:r>
      <w:r w:rsidR="000E588B">
        <w:t>he LOR1 definition will retain the essential element of two credible contingency events</w:t>
      </w:r>
      <w:r w:rsidR="00DE6045">
        <w:t>, so</w:t>
      </w:r>
      <w:r w:rsidR="000E588B">
        <w:t xml:space="preserve"> </w:t>
      </w:r>
      <w:r w:rsidR="00DE6045">
        <w:t>that</w:t>
      </w:r>
      <w:r w:rsidR="000E588B">
        <w:t xml:space="preserve"> inherently LOR2 represents a higher probability of load shedding because it allows for one less credible contingency</w:t>
      </w:r>
      <w:r w:rsidR="00DE6045">
        <w:t xml:space="preserve"> to occur</w:t>
      </w:r>
      <w:r w:rsidR="000E588B">
        <w:t>. Th</w:t>
      </w:r>
      <w:r w:rsidR="00DE6045">
        <w:t xml:space="preserve">is remains the case notwithstanding that </w:t>
      </w:r>
      <w:r w:rsidR="000E588B">
        <w:t xml:space="preserve">other </w:t>
      </w:r>
      <w:r w:rsidR="00DE6045">
        <w:t>elements of the determination are the same at both levels, and therefore in some cases the same value could be produced.</w:t>
      </w:r>
      <w:r w:rsidR="000E588B">
        <w:t xml:space="preserve"> </w:t>
      </w:r>
      <w:r>
        <w:t xml:space="preserve"> </w:t>
      </w:r>
    </w:p>
    <w:p w14:paraId="52246429" w14:textId="52EBB395" w:rsidR="000C6D45" w:rsidRDefault="00B8777A" w:rsidP="00DF2772">
      <w:pPr>
        <w:pStyle w:val="BodyText"/>
      </w:pPr>
      <w:r>
        <w:t xml:space="preserve">AEMO believes </w:t>
      </w:r>
      <w:r w:rsidR="00C722B2">
        <w:t xml:space="preserve">that on balance the proposal by ERM Power is superior to </w:t>
      </w:r>
      <w:r w:rsidR="00BA03DB">
        <w:t>the LOR1 formula in the draft Guidelines</w:t>
      </w:r>
      <w:r w:rsidR="00DE6045">
        <w:t>, and remains consistent with the NER</w:t>
      </w:r>
      <w:r w:rsidR="00BA03DB">
        <w:t>.</w:t>
      </w:r>
      <w:r w:rsidR="00C722B2">
        <w:t xml:space="preserve"> </w:t>
      </w:r>
    </w:p>
    <w:p w14:paraId="1EB5956C" w14:textId="592359DA" w:rsidR="00B8777A" w:rsidRDefault="00B8777A" w:rsidP="000C6D45">
      <w:pPr>
        <w:pStyle w:val="Heading3"/>
      </w:pPr>
      <w:r>
        <w:t xml:space="preserve">AEMO’s conclusion </w:t>
      </w:r>
    </w:p>
    <w:p w14:paraId="0CB972E9" w14:textId="4E327470" w:rsidR="00702367" w:rsidRPr="00702367" w:rsidRDefault="00C722B2" w:rsidP="00702367">
      <w:pPr>
        <w:pStyle w:val="BodyText"/>
      </w:pPr>
      <w:r>
        <w:t>AEMO will adopt the formula for LOR1 proposed by ERM Power</w:t>
      </w:r>
      <w:r w:rsidR="00BA03DB">
        <w:t xml:space="preserve"> in the final Guidelines</w:t>
      </w:r>
      <w:r>
        <w:t xml:space="preserve">.  </w:t>
      </w:r>
    </w:p>
    <w:p w14:paraId="79D58F85" w14:textId="337367BA" w:rsidR="00B8777A" w:rsidRDefault="00702367" w:rsidP="00702367">
      <w:pPr>
        <w:pStyle w:val="Heading2"/>
      </w:pPr>
      <w:bookmarkStart w:id="16" w:name="_Toc501453660"/>
      <w:r>
        <w:t>Improve</w:t>
      </w:r>
      <w:r w:rsidR="00FD310F">
        <w:t>d</w:t>
      </w:r>
      <w:r>
        <w:t xml:space="preserve"> explanation of the process</w:t>
      </w:r>
      <w:bookmarkEnd w:id="16"/>
    </w:p>
    <w:p w14:paraId="08816A45" w14:textId="77777777" w:rsidR="00702367" w:rsidRDefault="00702367" w:rsidP="00702367">
      <w:pPr>
        <w:pStyle w:val="Heading3"/>
      </w:pPr>
      <w:r>
        <w:t>Issue summary</w:t>
      </w:r>
    </w:p>
    <w:p w14:paraId="69F3E0FF" w14:textId="742196BB" w:rsidR="00702367" w:rsidRDefault="00702367" w:rsidP="00702367">
      <w:pPr>
        <w:pStyle w:val="BodyText"/>
      </w:pPr>
      <w:r>
        <w:t xml:space="preserve">ENGIE </w:t>
      </w:r>
      <w:r w:rsidR="00DE6045">
        <w:t>suggested</w:t>
      </w:r>
      <w:r>
        <w:t xml:space="preserve"> that the graph in Appendix B should be moved to Section 2 to improve the clarity of the explanation of how the LOR levels are calculated. </w:t>
      </w:r>
    </w:p>
    <w:p w14:paraId="475C089C" w14:textId="584F4C93" w:rsidR="00702367" w:rsidRPr="00702367" w:rsidRDefault="00702367" w:rsidP="00702367">
      <w:pPr>
        <w:pStyle w:val="BodyText"/>
      </w:pPr>
      <w:r>
        <w:t xml:space="preserve">ENGIE also indicated that the explanations in Appendix A </w:t>
      </w:r>
      <w:r w:rsidR="00376B36">
        <w:t xml:space="preserve">of the </w:t>
      </w:r>
      <w:r w:rsidR="00376B36" w:rsidRPr="00376B36">
        <w:rPr>
          <w:i/>
        </w:rPr>
        <w:t>Guidelines</w:t>
      </w:r>
      <w:r w:rsidR="00376B36">
        <w:t xml:space="preserve"> </w:t>
      </w:r>
      <w:r>
        <w:t>on how the process operates are inadequate and more detail is required</w:t>
      </w:r>
      <w:r w:rsidR="00DE6045">
        <w:t>,</w:t>
      </w:r>
      <w:r>
        <w:t xml:space="preserve"> including work</w:t>
      </w:r>
      <w:r w:rsidR="00BF4E1C">
        <w:t>ed</w:t>
      </w:r>
      <w:r>
        <w:t xml:space="preserve"> examples for specific scenarios. </w:t>
      </w:r>
    </w:p>
    <w:p w14:paraId="2D6D1B93" w14:textId="54538270" w:rsidR="00702367" w:rsidRDefault="00702367" w:rsidP="00702367">
      <w:pPr>
        <w:pStyle w:val="Heading3"/>
      </w:pPr>
      <w:r>
        <w:t xml:space="preserve">AEMO’s assessment </w:t>
      </w:r>
    </w:p>
    <w:p w14:paraId="1FB9592B" w14:textId="70736D11" w:rsidR="00376B36" w:rsidRPr="00376B36" w:rsidRDefault="00376B36" w:rsidP="00376B36">
      <w:pPr>
        <w:pStyle w:val="BodyText"/>
      </w:pPr>
      <w:r>
        <w:t xml:space="preserve">AEMO </w:t>
      </w:r>
      <w:r w:rsidR="00DE6045">
        <w:t xml:space="preserve">accepts </w:t>
      </w:r>
      <w:r>
        <w:t>ENGIE’s feedback on the need to improve the explanation of the process</w:t>
      </w:r>
      <w:r w:rsidR="00DE6045">
        <w:t>.</w:t>
      </w:r>
    </w:p>
    <w:p w14:paraId="6564F8F2" w14:textId="7BCF21E0" w:rsidR="00376B36" w:rsidRDefault="00702367" w:rsidP="00702367">
      <w:pPr>
        <w:pStyle w:val="Heading3"/>
      </w:pPr>
      <w:r>
        <w:t>AEMO’s conclusion</w:t>
      </w:r>
    </w:p>
    <w:p w14:paraId="7706EF43" w14:textId="6A6879FE" w:rsidR="00376B36" w:rsidRPr="00376B36" w:rsidRDefault="00376B36" w:rsidP="00376B36">
      <w:pPr>
        <w:pStyle w:val="BodyText"/>
      </w:pPr>
      <w:r>
        <w:t xml:space="preserve">AEMO will amend </w:t>
      </w:r>
      <w:r w:rsidR="00340FD0">
        <w:t>s</w:t>
      </w:r>
      <w:r>
        <w:t xml:space="preserve">ection 2 and expand Appendix A </w:t>
      </w:r>
      <w:r w:rsidR="00DD7D2F">
        <w:t xml:space="preserve">of the </w:t>
      </w:r>
      <w:r w:rsidR="00DD7D2F" w:rsidRPr="00DE6045">
        <w:t>Guideline</w:t>
      </w:r>
      <w:r w:rsidR="00DE6045">
        <w:t>s</w:t>
      </w:r>
      <w:r w:rsidR="00DD7D2F" w:rsidRPr="00DF2772">
        <w:rPr>
          <w:i/>
        </w:rPr>
        <w:t xml:space="preserve"> </w:t>
      </w:r>
      <w:r>
        <w:t xml:space="preserve">as suggested by ENGIE. </w:t>
      </w:r>
    </w:p>
    <w:p w14:paraId="7DEF8CA7" w14:textId="635AA8AA" w:rsidR="00702367" w:rsidRDefault="00456727" w:rsidP="00456727">
      <w:pPr>
        <w:pStyle w:val="Heading2"/>
      </w:pPr>
      <w:bookmarkStart w:id="17" w:name="_Toc501453661"/>
      <w:r>
        <w:t>Publication of FUM values</w:t>
      </w:r>
      <w:bookmarkEnd w:id="17"/>
      <w:r>
        <w:t xml:space="preserve"> </w:t>
      </w:r>
      <w:r w:rsidR="00702367">
        <w:t xml:space="preserve"> </w:t>
      </w:r>
    </w:p>
    <w:p w14:paraId="727AB886" w14:textId="77777777" w:rsidR="00456727" w:rsidRDefault="00456727" w:rsidP="00456727">
      <w:pPr>
        <w:pStyle w:val="Heading3"/>
      </w:pPr>
      <w:r>
        <w:t>Issue summary</w:t>
      </w:r>
    </w:p>
    <w:p w14:paraId="3A2CB457" w14:textId="6F6E6A9C" w:rsidR="00456727" w:rsidRPr="00D352C3" w:rsidRDefault="00456727" w:rsidP="00456727">
      <w:pPr>
        <w:pStyle w:val="BodyText"/>
      </w:pPr>
      <w:r w:rsidRPr="00D352C3">
        <w:t xml:space="preserve">In the interests of transparency, ERM </w:t>
      </w:r>
      <w:r w:rsidR="00121833">
        <w:t xml:space="preserve">Power </w:t>
      </w:r>
      <w:r w:rsidRPr="00D352C3">
        <w:t xml:space="preserve">urged AEMO to publish the FUM as a standalone value. </w:t>
      </w:r>
    </w:p>
    <w:p w14:paraId="23072FBB" w14:textId="77777777" w:rsidR="00456727" w:rsidRDefault="00456727" w:rsidP="00456727">
      <w:pPr>
        <w:pStyle w:val="Heading3"/>
      </w:pPr>
      <w:r>
        <w:t xml:space="preserve">AEMO’s assessment </w:t>
      </w:r>
    </w:p>
    <w:p w14:paraId="72E2EEAC" w14:textId="2BA703A4" w:rsidR="00DD7D2F" w:rsidRDefault="00456727" w:rsidP="00456727">
      <w:pPr>
        <w:pStyle w:val="BodyText"/>
      </w:pPr>
      <w:r>
        <w:t xml:space="preserve">AEMO has proposed only to publish the LOR1 and LOR2 values at present, to avoid </w:t>
      </w:r>
      <w:r w:rsidR="00DE6045">
        <w:t xml:space="preserve">late </w:t>
      </w:r>
      <w:r>
        <w:t xml:space="preserve">changes to the main data structure due to its impact on </w:t>
      </w:r>
      <w:r w:rsidR="00DE6045">
        <w:t>market p</w:t>
      </w:r>
      <w:r>
        <w:t xml:space="preserve">articipant </w:t>
      </w:r>
      <w:r w:rsidR="00DE6045">
        <w:t>s</w:t>
      </w:r>
      <w:r>
        <w:t>ystems. However</w:t>
      </w:r>
      <w:r w:rsidR="00DE6045">
        <w:t>,</w:t>
      </w:r>
      <w:r>
        <w:t xml:space="preserve"> </w:t>
      </w:r>
      <w:r w:rsidR="00DD7D2F">
        <w:t xml:space="preserve">there a number of </w:t>
      </w:r>
      <w:r w:rsidR="00DE6045">
        <w:t xml:space="preserve">alternative </w:t>
      </w:r>
      <w:r w:rsidR="00DD7D2F">
        <w:t>options to address th</w:t>
      </w:r>
      <w:r w:rsidR="00DE6045">
        <w:t>e</w:t>
      </w:r>
      <w:r w:rsidR="00DD7D2F">
        <w:t xml:space="preserve"> issue </w:t>
      </w:r>
      <w:r w:rsidR="00DE6045">
        <w:t>of transparency raised by ERM</w:t>
      </w:r>
      <w:r w:rsidR="008B16BB">
        <w:t>:</w:t>
      </w:r>
    </w:p>
    <w:p w14:paraId="64E39741" w14:textId="48B2D1BD" w:rsidR="00456727" w:rsidRDefault="00256F62" w:rsidP="004323EB">
      <w:pPr>
        <w:pStyle w:val="ListBullet"/>
      </w:pPr>
      <w:r>
        <w:t>FUM,</w:t>
      </w:r>
      <w:r w:rsidR="00DD7D2F">
        <w:t xml:space="preserve"> LCR and LCR2 values </w:t>
      </w:r>
      <w:r w:rsidR="00456727">
        <w:t xml:space="preserve">could be </w:t>
      </w:r>
      <w:r w:rsidR="00E94D4E">
        <w:t xml:space="preserve">automatically </w:t>
      </w:r>
      <w:r w:rsidR="00456727">
        <w:t xml:space="preserve">published on the AEMO </w:t>
      </w:r>
      <w:r w:rsidR="00DE6045">
        <w:t>w</w:t>
      </w:r>
      <w:r w:rsidR="00456727">
        <w:t xml:space="preserve">ebsite through a separate process. </w:t>
      </w:r>
    </w:p>
    <w:p w14:paraId="3C0B6A48" w14:textId="0F251A2D" w:rsidR="00DD7D2F" w:rsidRDefault="00DE6045" w:rsidP="004323EB">
      <w:pPr>
        <w:pStyle w:val="ListBullet"/>
      </w:pPr>
      <w:r>
        <w:t>T</w:t>
      </w:r>
      <w:r w:rsidR="00256F62">
        <w:t>hese</w:t>
      </w:r>
      <w:r w:rsidR="00DD7D2F">
        <w:t xml:space="preserve"> values could be incorporated into the data model in the future</w:t>
      </w:r>
      <w:r>
        <w:t>.</w:t>
      </w:r>
      <w:r w:rsidR="00DD7D2F">
        <w:t xml:space="preserve"> </w:t>
      </w:r>
    </w:p>
    <w:p w14:paraId="1CF91FA1" w14:textId="1D69F403" w:rsidR="00DD7D2F" w:rsidRPr="00456727" w:rsidRDefault="00DE6045" w:rsidP="004323EB">
      <w:pPr>
        <w:pStyle w:val="ListBullet"/>
      </w:pPr>
      <w:r>
        <w:t>T</w:t>
      </w:r>
      <w:r w:rsidR="00256F62">
        <w:t>hese values could be provided to a Participant in response to a special request</w:t>
      </w:r>
      <w:r>
        <w:t>.</w:t>
      </w:r>
    </w:p>
    <w:p w14:paraId="65F66FD2" w14:textId="77777777" w:rsidR="00456727" w:rsidRDefault="00456727" w:rsidP="00456727">
      <w:pPr>
        <w:pStyle w:val="Heading3"/>
      </w:pPr>
      <w:r>
        <w:t>AEMO’s conclusion</w:t>
      </w:r>
    </w:p>
    <w:p w14:paraId="763C8C06" w14:textId="4143768E" w:rsidR="00456727" w:rsidRPr="00456727" w:rsidRDefault="00456727" w:rsidP="00456727">
      <w:pPr>
        <w:pStyle w:val="BodyText"/>
      </w:pPr>
      <w:r>
        <w:t>AEMO will undertake an IT impact study to examine the feasibility of publishing the values of FUM, LCR and LCR2 on its website</w:t>
      </w:r>
      <w:r w:rsidR="00256F62">
        <w:t xml:space="preserve"> from the first quarter of 2018</w:t>
      </w:r>
      <w:r w:rsidR="00340FD0">
        <w:t xml:space="preserve">, and will consider the feasibility of incorporating the values in a future release of the data model. No changes will be made to the initial version of </w:t>
      </w:r>
      <w:r w:rsidR="008B16BB">
        <w:br/>
      </w:r>
      <w:r w:rsidR="00340FD0">
        <w:t>the Guidelines.</w:t>
      </w:r>
    </w:p>
    <w:p w14:paraId="66B76432" w14:textId="053C0932" w:rsidR="00702367" w:rsidRDefault="00D352C3" w:rsidP="00D352C3">
      <w:pPr>
        <w:pStyle w:val="Heading2"/>
      </w:pPr>
      <w:bookmarkStart w:id="18" w:name="_Toc501453662"/>
      <w:r>
        <w:t>Determination of when to declare conditions</w:t>
      </w:r>
      <w:bookmarkEnd w:id="18"/>
      <w:r>
        <w:t xml:space="preserve"> </w:t>
      </w:r>
    </w:p>
    <w:p w14:paraId="69F1C040" w14:textId="77777777" w:rsidR="00D352C3" w:rsidRDefault="00D352C3" w:rsidP="00D352C3">
      <w:pPr>
        <w:pStyle w:val="Heading3"/>
      </w:pPr>
      <w:r>
        <w:t>Issue summary</w:t>
      </w:r>
    </w:p>
    <w:p w14:paraId="7A0BE5DA" w14:textId="451CEE19" w:rsidR="00992DFD" w:rsidRPr="00B11D62" w:rsidRDefault="00992DFD" w:rsidP="00B11D62">
      <w:pPr>
        <w:pStyle w:val="BodyText"/>
      </w:pPr>
      <w:r>
        <w:t xml:space="preserve">Section 5 of the </w:t>
      </w:r>
      <w:r w:rsidRPr="00340FD0">
        <w:t xml:space="preserve">Guidelines states that “AEMO will declare LOR Conditions when it determines there is a non-remote probability of load shedding”. ENGIE </w:t>
      </w:r>
      <w:r>
        <w:t>considers</w:t>
      </w:r>
      <w:r w:rsidRPr="00340FD0">
        <w:t xml:space="preserve"> that </w:t>
      </w:r>
      <w:r>
        <w:t>s</w:t>
      </w:r>
      <w:r w:rsidRPr="00340FD0">
        <w:t xml:space="preserve">ection 5 then proceeds to define </w:t>
      </w:r>
      <w:r>
        <w:t xml:space="preserve">the LOR </w:t>
      </w:r>
      <w:r w:rsidRPr="00340FD0">
        <w:t xml:space="preserve">thresholds </w:t>
      </w:r>
      <w:r>
        <w:t xml:space="preserve">to be applied </w:t>
      </w:r>
      <w:r w:rsidRPr="00340FD0">
        <w:t xml:space="preserve">in a deterministic manner with </w:t>
      </w:r>
      <w:r>
        <w:t xml:space="preserve">no </w:t>
      </w:r>
      <w:r w:rsidRPr="00340FD0">
        <w:t xml:space="preserve">apparent reliance on subjective assessment. </w:t>
      </w:r>
      <w:r>
        <w:t>ENGIE therefore questions the use of the above phrase.</w:t>
      </w:r>
    </w:p>
    <w:p w14:paraId="7DD6179B" w14:textId="5D5A4FF0" w:rsidR="00D352C3" w:rsidRPr="00340FD0" w:rsidRDefault="00D352C3" w:rsidP="00D352C3">
      <w:pPr>
        <w:pStyle w:val="Heading3"/>
      </w:pPr>
      <w:r w:rsidRPr="00340FD0">
        <w:t xml:space="preserve">AEMO’s assessment </w:t>
      </w:r>
    </w:p>
    <w:p w14:paraId="479EBE63" w14:textId="48FCB68F" w:rsidR="00D352C3" w:rsidRPr="00340FD0" w:rsidRDefault="006B6E89" w:rsidP="00D352C3">
      <w:pPr>
        <w:pStyle w:val="BodyText"/>
      </w:pPr>
      <w:r>
        <w:t xml:space="preserve">A key requirement for the Guidelines is to set out how AEMO determines the LOR levels </w:t>
      </w:r>
      <w:r w:rsidR="008B16BB">
        <w:t xml:space="preserve">which </w:t>
      </w:r>
      <w:r>
        <w:t>in turn define whether the probability of load shedding is more than remote. Although t</w:t>
      </w:r>
      <w:r w:rsidR="00D352C3" w:rsidRPr="00340FD0">
        <w:t>he Guideline</w:t>
      </w:r>
      <w:r>
        <w:t>s</w:t>
      </w:r>
      <w:r w:rsidR="00D352C3" w:rsidRPr="00340FD0">
        <w:t xml:space="preserve"> do set out a process to define thresholds in a deterministic manner</w:t>
      </w:r>
      <w:r>
        <w:t>, AEMO is still required to apply these processes in order to determine when a declaration is to be made. There is also an element of subjective assessment</w:t>
      </w:r>
      <w:r w:rsidR="00D352C3" w:rsidRPr="00340FD0">
        <w:t>.</w:t>
      </w:r>
      <w:r>
        <w:t xml:space="preserve"> S</w:t>
      </w:r>
      <w:r w:rsidR="00D352C3" w:rsidRPr="00340FD0">
        <w:t xml:space="preserve">ome discretion is necessary to avoid unnecessary declarations when </w:t>
      </w:r>
      <w:r w:rsidR="008B16BB">
        <w:br/>
      </w:r>
      <w:r w:rsidR="00D352C3" w:rsidRPr="00340FD0">
        <w:t>there are</w:t>
      </w:r>
      <w:r w:rsidR="00340FD0">
        <w:t>:</w:t>
      </w:r>
    </w:p>
    <w:p w14:paraId="6CB997E1" w14:textId="11049CFD" w:rsidR="00D352C3" w:rsidRPr="00340FD0" w:rsidRDefault="00340FD0" w:rsidP="004323EB">
      <w:pPr>
        <w:pStyle w:val="ListBullet"/>
      </w:pPr>
      <w:r>
        <w:t>C</w:t>
      </w:r>
      <w:r w:rsidR="00D352C3" w:rsidRPr="00340FD0">
        <w:t>learly incorrect PASA results due to software failures or network constraint equation issues</w:t>
      </w:r>
      <w:r>
        <w:t>.</w:t>
      </w:r>
    </w:p>
    <w:p w14:paraId="0A5FA6D2" w14:textId="79075F43" w:rsidR="00D352C3" w:rsidRPr="00340FD0" w:rsidRDefault="00340FD0" w:rsidP="004323EB">
      <w:pPr>
        <w:pStyle w:val="ListBullet"/>
      </w:pPr>
      <w:r>
        <w:t>S</w:t>
      </w:r>
      <w:r w:rsidR="00D352C3" w:rsidRPr="00340FD0">
        <w:t>ituations where the forecast reserve</w:t>
      </w:r>
      <w:r w:rsidR="00121833" w:rsidRPr="00340FD0">
        <w:t>s are</w:t>
      </w:r>
      <w:r w:rsidR="00D352C3" w:rsidRPr="00340FD0">
        <w:t xml:space="preserve"> below the calculated level but it is clear that this is only a temporary situation and does not represent an ongoing threat to reliability. </w:t>
      </w:r>
    </w:p>
    <w:p w14:paraId="31000BDB" w14:textId="325D43B4" w:rsidR="00D352C3" w:rsidRPr="00340FD0" w:rsidRDefault="006D1997" w:rsidP="009A4EFE">
      <w:pPr>
        <w:pStyle w:val="Heading3"/>
      </w:pPr>
      <w:r w:rsidRPr="00340FD0">
        <w:t>AEMO’s conclusion</w:t>
      </w:r>
    </w:p>
    <w:p w14:paraId="3EFB0C2F" w14:textId="01E71359" w:rsidR="006D1997" w:rsidRPr="00340FD0" w:rsidRDefault="006D1997" w:rsidP="006D1997">
      <w:pPr>
        <w:pStyle w:val="BodyText"/>
      </w:pPr>
      <w:r w:rsidRPr="00340FD0">
        <w:t xml:space="preserve">AEMO </w:t>
      </w:r>
      <w:r w:rsidR="006B6E89">
        <w:t xml:space="preserve">has included </w:t>
      </w:r>
      <w:r w:rsidR="000F60FC" w:rsidRPr="00340FD0">
        <w:t xml:space="preserve">details in </w:t>
      </w:r>
      <w:r w:rsidR="00340FD0">
        <w:t>s</w:t>
      </w:r>
      <w:r w:rsidR="000F60FC" w:rsidRPr="00340FD0">
        <w:t xml:space="preserve">ection 5 </w:t>
      </w:r>
      <w:r w:rsidR="00256F62" w:rsidRPr="00340FD0">
        <w:t>of the Guideline</w:t>
      </w:r>
      <w:r w:rsidR="006B6E89">
        <w:t>s</w:t>
      </w:r>
      <w:r w:rsidR="00256F62" w:rsidRPr="00340FD0">
        <w:t xml:space="preserve"> </w:t>
      </w:r>
      <w:r w:rsidR="000F60FC" w:rsidRPr="00340FD0">
        <w:t>on how</w:t>
      </w:r>
      <w:r w:rsidRPr="00340FD0">
        <w:t xml:space="preserve"> it would exercise it</w:t>
      </w:r>
      <w:r w:rsidR="000F60FC" w:rsidRPr="00340FD0">
        <w:t xml:space="preserve">s discretion in such instances and how this will be communicated to the market. </w:t>
      </w:r>
    </w:p>
    <w:p w14:paraId="04567E68" w14:textId="705C9433" w:rsidR="00D352C3" w:rsidRPr="00340FD0" w:rsidRDefault="006D1997" w:rsidP="006D1997">
      <w:pPr>
        <w:pStyle w:val="Heading2"/>
      </w:pPr>
      <w:bookmarkStart w:id="19" w:name="_Toc501453663"/>
      <w:r w:rsidRPr="00340FD0">
        <w:t>Reasonability limits</w:t>
      </w:r>
      <w:r w:rsidR="00184365">
        <w:t xml:space="preserve"> for FUM values</w:t>
      </w:r>
      <w:bookmarkEnd w:id="19"/>
    </w:p>
    <w:p w14:paraId="4BA4D26B" w14:textId="77777777" w:rsidR="006D1997" w:rsidRPr="00340FD0" w:rsidRDefault="006D1997" w:rsidP="006D1997">
      <w:pPr>
        <w:pStyle w:val="Heading3"/>
      </w:pPr>
      <w:r w:rsidRPr="00340FD0">
        <w:t>Issue summary</w:t>
      </w:r>
    </w:p>
    <w:p w14:paraId="0D2924C5" w14:textId="21F454DB" w:rsidR="006D1997" w:rsidRPr="00340FD0" w:rsidRDefault="006D1997" w:rsidP="006D1997">
      <w:pPr>
        <w:pStyle w:val="BodyText"/>
      </w:pPr>
      <w:r w:rsidRPr="00340FD0">
        <w:t>AEMO propose</w:t>
      </w:r>
      <w:r w:rsidR="00184365">
        <w:t>s</w:t>
      </w:r>
      <w:r w:rsidRPr="00340FD0">
        <w:t xml:space="preserve"> to include details in the Guidelines of </w:t>
      </w:r>
      <w:r w:rsidR="00184365">
        <w:t xml:space="preserve">how it will </w:t>
      </w:r>
      <w:r w:rsidRPr="00340FD0">
        <w:t>check FUM values</w:t>
      </w:r>
      <w:r w:rsidR="00184365">
        <w:t xml:space="preserve"> to confirm they are within reasonable parameters.</w:t>
      </w:r>
    </w:p>
    <w:p w14:paraId="475215BD" w14:textId="77777777" w:rsidR="006D1997" w:rsidRPr="00340FD0" w:rsidRDefault="006D1997" w:rsidP="006D1997">
      <w:pPr>
        <w:pStyle w:val="Heading3"/>
      </w:pPr>
      <w:r w:rsidRPr="00340FD0">
        <w:t xml:space="preserve">AEMO’s assessment </w:t>
      </w:r>
    </w:p>
    <w:p w14:paraId="386F05DA" w14:textId="62118D5E" w:rsidR="006D1997" w:rsidRPr="00340FD0" w:rsidRDefault="006D1997" w:rsidP="006D1997">
      <w:pPr>
        <w:pStyle w:val="BodyText"/>
      </w:pPr>
      <w:r w:rsidRPr="00340FD0">
        <w:t xml:space="preserve">In the interests of transparency, AEMO believes that the Guidelines need to establish the principles that AEMO will adopt in determining </w:t>
      </w:r>
      <w:r w:rsidR="00184365">
        <w:t>‘</w:t>
      </w:r>
      <w:r w:rsidRPr="00340FD0">
        <w:t>reasonability limits</w:t>
      </w:r>
      <w:r w:rsidR="00184365">
        <w:t>’ for checking FUM values</w:t>
      </w:r>
      <w:r w:rsidRPr="00340FD0">
        <w:t xml:space="preserve">. The Guidelines will make clear that the specific limits </w:t>
      </w:r>
      <w:r w:rsidR="00184365">
        <w:t>will be set so as to identify any unrealistic LOR levels that may result from mal-operation of the system. It is not considered appropriate to specify the reasonability limits</w:t>
      </w:r>
      <w:r w:rsidR="00184365" w:rsidRPr="00340FD0">
        <w:t xml:space="preserve"> </w:t>
      </w:r>
      <w:r w:rsidR="00184365">
        <w:t xml:space="preserve">in the Guidelines, because they should be </w:t>
      </w:r>
      <w:r w:rsidR="00193E3C">
        <w:t xml:space="preserve">constantly reviewed and refined as necessary to adjust to changing conditions and learnings from system operation and development. </w:t>
      </w:r>
      <w:r w:rsidR="00E8711D">
        <w:t>The details of the reasonability limits initially c</w:t>
      </w:r>
      <w:r w:rsidR="00063B4E">
        <w:t xml:space="preserve">hosen are provided in Section </w:t>
      </w:r>
      <w:r w:rsidR="00063B4E">
        <w:fldChar w:fldCharType="begin"/>
      </w:r>
      <w:r w:rsidR="00063B4E">
        <w:instrText xml:space="preserve"> REF _Ref500913769 \r \h </w:instrText>
      </w:r>
      <w:r w:rsidR="00063B4E">
        <w:fldChar w:fldCharType="separate"/>
      </w:r>
      <w:r w:rsidR="007E4948">
        <w:t>5.4</w:t>
      </w:r>
      <w:r w:rsidR="00063B4E">
        <w:fldChar w:fldCharType="end"/>
      </w:r>
      <w:r w:rsidR="00E8711D">
        <w:t xml:space="preserve"> of this report</w:t>
      </w:r>
      <w:r w:rsidR="00603A8C">
        <w:t>.</w:t>
      </w:r>
      <w:r w:rsidR="00E8711D">
        <w:t xml:space="preserve"> </w:t>
      </w:r>
      <w:r w:rsidR="00193E3C">
        <w:t>T</w:t>
      </w:r>
      <w:r w:rsidRPr="00340FD0">
        <w:t xml:space="preserve">he </w:t>
      </w:r>
      <w:r w:rsidR="00193E3C">
        <w:t>purpose of reasonability limits is</w:t>
      </w:r>
      <w:r w:rsidRPr="00340FD0">
        <w:t xml:space="preserve"> not to alter the desired outcomes of the process</w:t>
      </w:r>
      <w:r w:rsidR="00184365">
        <w:t>,</w:t>
      </w:r>
      <w:r w:rsidRPr="00340FD0">
        <w:t xml:space="preserve"> but rather to better ensure that desired outcomes </w:t>
      </w:r>
      <w:r w:rsidR="008B16BB">
        <w:br/>
      </w:r>
      <w:r w:rsidRPr="00340FD0">
        <w:t xml:space="preserve">are achieved. </w:t>
      </w:r>
    </w:p>
    <w:p w14:paraId="56F2B74E" w14:textId="77777777" w:rsidR="006D1997" w:rsidRPr="00340FD0" w:rsidRDefault="006D1997" w:rsidP="006D1997">
      <w:pPr>
        <w:pStyle w:val="Heading3"/>
      </w:pPr>
      <w:r w:rsidRPr="00340FD0">
        <w:t>AEMO’s conclusion</w:t>
      </w:r>
    </w:p>
    <w:p w14:paraId="1AC2DC1E" w14:textId="074DE4D0" w:rsidR="006D1997" w:rsidRPr="00340FD0" w:rsidRDefault="00184365" w:rsidP="006D1997">
      <w:pPr>
        <w:pStyle w:val="BodyText"/>
      </w:pPr>
      <w:r>
        <w:t>T</w:t>
      </w:r>
      <w:r w:rsidR="006D1997" w:rsidRPr="00340FD0">
        <w:t xml:space="preserve">he </w:t>
      </w:r>
      <w:r w:rsidR="00193E3C">
        <w:t>Guidelines include a requirement for AEMO to set appropriate limits to check the reasonableness of FUM values, and state the objective that reasonability limits should be designed to achieve</w:t>
      </w:r>
      <w:r w:rsidR="006D1997" w:rsidRPr="00340FD0">
        <w:t xml:space="preserve">. </w:t>
      </w:r>
    </w:p>
    <w:p w14:paraId="5FA530FF" w14:textId="3EB97323" w:rsidR="006D1997" w:rsidRPr="00340FD0" w:rsidRDefault="000F60FC" w:rsidP="000F60FC">
      <w:pPr>
        <w:pStyle w:val="Heading2"/>
      </w:pPr>
      <w:bookmarkStart w:id="20" w:name="_Toc501453664"/>
      <w:r w:rsidRPr="00340FD0">
        <w:t>Future developments</w:t>
      </w:r>
      <w:bookmarkEnd w:id="20"/>
      <w:r w:rsidRPr="00340FD0">
        <w:t xml:space="preserve"> </w:t>
      </w:r>
    </w:p>
    <w:p w14:paraId="01FC4F9C" w14:textId="5CF64CB3" w:rsidR="000F60FC" w:rsidRPr="00340FD0" w:rsidRDefault="000F60FC" w:rsidP="000F60FC">
      <w:pPr>
        <w:pStyle w:val="Heading3"/>
      </w:pPr>
      <w:r w:rsidRPr="00340FD0">
        <w:t>Issue summary</w:t>
      </w:r>
    </w:p>
    <w:p w14:paraId="74D78D9C" w14:textId="1D9249D9" w:rsidR="000F60FC" w:rsidRPr="00340FD0" w:rsidRDefault="000F60FC" w:rsidP="000F60FC">
      <w:pPr>
        <w:pStyle w:val="BodyText"/>
      </w:pPr>
      <w:r w:rsidRPr="00340FD0">
        <w:t>ERM Power suggested that a review of the initial Guideline</w:t>
      </w:r>
      <w:r w:rsidR="00121833" w:rsidRPr="00340FD0">
        <w:t>s</w:t>
      </w:r>
      <w:r w:rsidRPr="00340FD0">
        <w:t xml:space="preserve"> be commenced in April 2018 so as to take into account learnings from </w:t>
      </w:r>
      <w:r w:rsidR="00193E3C">
        <w:t>s</w:t>
      </w:r>
      <w:r w:rsidRPr="00340FD0">
        <w:t>ummer</w:t>
      </w:r>
      <w:r w:rsidR="009B3969">
        <w:t xml:space="preserve"> 20</w:t>
      </w:r>
      <w:r w:rsidRPr="00340FD0">
        <w:t>17</w:t>
      </w:r>
      <w:r w:rsidR="009B3969">
        <w:t>–</w:t>
      </w:r>
      <w:r w:rsidRPr="00340FD0">
        <w:t>18.</w:t>
      </w:r>
    </w:p>
    <w:p w14:paraId="6DB4E1E3" w14:textId="433DC869" w:rsidR="000F60FC" w:rsidRPr="00340FD0" w:rsidRDefault="000F60FC" w:rsidP="000F60FC">
      <w:pPr>
        <w:pStyle w:val="BodyText"/>
      </w:pPr>
      <w:r w:rsidRPr="00340FD0">
        <w:t>ERM Power was of the view that introduction of the FUM should not be seen as an improvement to forecasting processes but rather a “</w:t>
      </w:r>
      <w:r w:rsidR="004323EB" w:rsidRPr="00340FD0">
        <w:t>Band-Aid</w:t>
      </w:r>
      <w:r w:rsidRPr="00340FD0">
        <w:t xml:space="preserve">” pending undergoing improvements to the performance of AEMO’s forecasting systems. </w:t>
      </w:r>
    </w:p>
    <w:p w14:paraId="3DDE07CC" w14:textId="77777777" w:rsidR="000F60FC" w:rsidRPr="00340FD0" w:rsidRDefault="000F60FC" w:rsidP="000F60FC">
      <w:pPr>
        <w:pStyle w:val="Heading3"/>
      </w:pPr>
      <w:r w:rsidRPr="00340FD0">
        <w:t xml:space="preserve">AEMO’s assessment </w:t>
      </w:r>
    </w:p>
    <w:p w14:paraId="77512FEC" w14:textId="4FDB3501" w:rsidR="000F60FC" w:rsidRPr="00340FD0" w:rsidRDefault="000F60FC" w:rsidP="000F60FC">
      <w:pPr>
        <w:pStyle w:val="BodyText"/>
      </w:pPr>
      <w:r w:rsidRPr="00340FD0">
        <w:t xml:space="preserve">AEMO agrees that a review </w:t>
      </w:r>
      <w:r w:rsidR="00A8458A" w:rsidRPr="00340FD0">
        <w:t xml:space="preserve">commencing </w:t>
      </w:r>
      <w:r w:rsidR="00A8458A">
        <w:t>as</w:t>
      </w:r>
      <w:r w:rsidR="00193E3C">
        <w:t xml:space="preserve"> soon as practicable after the end of March 2018</w:t>
      </w:r>
      <w:r w:rsidRPr="00340FD0">
        <w:t xml:space="preserve"> would be appropriate</w:t>
      </w:r>
      <w:r w:rsidR="00193E3C">
        <w:t>, allowing a review of the operation of the new process over the coming summer period</w:t>
      </w:r>
      <w:r w:rsidRPr="00340FD0">
        <w:t xml:space="preserve">. AEMO also </w:t>
      </w:r>
      <w:r w:rsidR="00193E3C">
        <w:t>agrees</w:t>
      </w:r>
      <w:r w:rsidRPr="00340FD0">
        <w:t xml:space="preserve"> that the introduction of this process is not a substitute for continuous improvement of AEMO’s forecasting </w:t>
      </w:r>
      <w:r w:rsidR="00B32034">
        <w:t xml:space="preserve">systems and </w:t>
      </w:r>
      <w:r w:rsidRPr="00340FD0">
        <w:t>process</w:t>
      </w:r>
      <w:r w:rsidR="00B32034">
        <w:t>es</w:t>
      </w:r>
      <w:r w:rsidRPr="00340FD0">
        <w:t xml:space="preserve">. </w:t>
      </w:r>
    </w:p>
    <w:p w14:paraId="228E6301" w14:textId="77777777" w:rsidR="000F60FC" w:rsidRPr="00340FD0" w:rsidRDefault="000F60FC" w:rsidP="000F60FC">
      <w:pPr>
        <w:pStyle w:val="Heading3"/>
      </w:pPr>
      <w:r w:rsidRPr="00340FD0">
        <w:t>AEMO’s conclusion</w:t>
      </w:r>
    </w:p>
    <w:p w14:paraId="36D4C842" w14:textId="05FD97A0" w:rsidR="000F60FC" w:rsidRPr="000F60FC" w:rsidRDefault="000F60FC" w:rsidP="000F60FC">
      <w:pPr>
        <w:pStyle w:val="BodyText"/>
      </w:pPr>
      <w:r w:rsidRPr="00340FD0">
        <w:t xml:space="preserve">AEMO </w:t>
      </w:r>
      <w:r w:rsidR="00193E3C">
        <w:t xml:space="preserve">proposes to </w:t>
      </w:r>
      <w:r w:rsidRPr="00340FD0">
        <w:t>commence a review of the Guidelines</w:t>
      </w:r>
      <w:r>
        <w:rPr>
          <w:i/>
        </w:rPr>
        <w:t xml:space="preserve"> </w:t>
      </w:r>
      <w:r w:rsidRPr="000F60FC">
        <w:t>in April</w:t>
      </w:r>
      <w:r w:rsidR="00B32034">
        <w:t xml:space="preserve"> or May</w:t>
      </w:r>
      <w:r w:rsidRPr="000F60FC">
        <w:t xml:space="preserve"> 2018</w:t>
      </w:r>
      <w:r w:rsidR="00B32034">
        <w:t>, and any proposed changes will be subject to consultation</w:t>
      </w:r>
      <w:r>
        <w:rPr>
          <w:i/>
        </w:rPr>
        <w:t xml:space="preserve"> </w:t>
      </w:r>
      <w:r w:rsidRPr="000F60FC">
        <w:t xml:space="preserve">in </w:t>
      </w:r>
      <w:r>
        <w:t xml:space="preserve">accordance with clause 4.8.4(e) of the </w:t>
      </w:r>
      <w:r w:rsidR="002073A3">
        <w:t>NER</w:t>
      </w:r>
      <w:r>
        <w:t xml:space="preserve">. AEMO will continue with initiatives to improve the performance of its forecasting processes. </w:t>
      </w:r>
    </w:p>
    <w:p w14:paraId="136F46A7" w14:textId="3696CC49" w:rsidR="00F434B4" w:rsidRDefault="00F434B4" w:rsidP="00F434B4">
      <w:pPr>
        <w:pStyle w:val="Heading1"/>
      </w:pPr>
      <w:bookmarkStart w:id="21" w:name="_Toc501453665"/>
      <w:r>
        <w:t>other Matters</w:t>
      </w:r>
      <w:bookmarkEnd w:id="21"/>
      <w:r>
        <w:t xml:space="preserve"> </w:t>
      </w:r>
    </w:p>
    <w:p w14:paraId="69B7C9B1" w14:textId="6F564F74" w:rsidR="00022F7B" w:rsidRDefault="00F434B4" w:rsidP="00022F7B">
      <w:pPr>
        <w:pStyle w:val="Heading2"/>
      </w:pPr>
      <w:bookmarkStart w:id="22" w:name="_Ref501005616"/>
      <w:bookmarkStart w:id="23" w:name="_Toc501453666"/>
      <w:r>
        <w:t>Determination of appropriate confidence levels for FUM</w:t>
      </w:r>
      <w:bookmarkEnd w:id="22"/>
      <w:bookmarkEnd w:id="23"/>
    </w:p>
    <w:p w14:paraId="17BA5254" w14:textId="1027D4C3" w:rsidR="00022F7B" w:rsidRPr="00022F7B" w:rsidRDefault="00022F7B" w:rsidP="00022F7B">
      <w:pPr>
        <w:pStyle w:val="Heading3"/>
      </w:pPr>
      <w:r>
        <w:t xml:space="preserve">Description of </w:t>
      </w:r>
      <w:r w:rsidR="008A0507">
        <w:t>process</w:t>
      </w:r>
    </w:p>
    <w:p w14:paraId="7B5FC492" w14:textId="2057F6F9" w:rsidR="00022F7B" w:rsidRPr="002C1AE2" w:rsidRDefault="00022F7B" w:rsidP="000C6D45">
      <w:pPr>
        <w:pStyle w:val="BodyText"/>
      </w:pPr>
      <w:r w:rsidRPr="002C1AE2">
        <w:t xml:space="preserve">The </w:t>
      </w:r>
      <w:r w:rsidR="009A4EFE">
        <w:t xml:space="preserve">appropriate </w:t>
      </w:r>
      <w:r w:rsidRPr="002C1AE2">
        <w:t xml:space="preserve">confidence level </w:t>
      </w:r>
      <w:r w:rsidR="00335DE3">
        <w:t xml:space="preserve">used for the forecast uncertainty measure (FUM) used in determining LOR conditions </w:t>
      </w:r>
      <w:r w:rsidRPr="002C1AE2">
        <w:t>needs to achieve a balance between</w:t>
      </w:r>
      <w:r w:rsidR="00335DE3">
        <w:t>:</w:t>
      </w:r>
      <w:r w:rsidRPr="002C1AE2">
        <w:t xml:space="preserve"> </w:t>
      </w:r>
    </w:p>
    <w:p w14:paraId="24050C67" w14:textId="007E9951" w:rsidR="00022F7B" w:rsidRPr="002C1AE2" w:rsidRDefault="00022F7B" w:rsidP="000C6D45">
      <w:pPr>
        <w:pStyle w:val="ListBullet"/>
      </w:pPr>
      <w:r w:rsidRPr="002C1AE2">
        <w:t xml:space="preserve">Reducing </w:t>
      </w:r>
      <w:r>
        <w:t xml:space="preserve">the </w:t>
      </w:r>
      <w:r w:rsidRPr="002C1AE2">
        <w:t>chance of a situation where load shedding arises due to lack of action by AEMO as a result of reserve forecasting error</w:t>
      </w:r>
      <w:r w:rsidR="00335DE3">
        <w:t>.</w:t>
      </w:r>
      <w:r>
        <w:t xml:space="preserve"> </w:t>
      </w:r>
    </w:p>
    <w:p w14:paraId="02AB0C05" w14:textId="3A6BCBA9" w:rsidR="00022F7B" w:rsidRPr="002C1AE2" w:rsidRDefault="00022F7B" w:rsidP="007322FC">
      <w:pPr>
        <w:pStyle w:val="ListBullet"/>
      </w:pPr>
      <w:r w:rsidRPr="002C1AE2">
        <w:t xml:space="preserve">Increasing the likelihood of unnecessary declarations due to an overly conservative </w:t>
      </w:r>
      <w:r w:rsidR="008A0507">
        <w:br/>
      </w:r>
      <w:r w:rsidRPr="002C1AE2">
        <w:t>confidence level</w:t>
      </w:r>
      <w:r>
        <w:t>.</w:t>
      </w:r>
    </w:p>
    <w:p w14:paraId="440CACB6" w14:textId="21649B68" w:rsidR="00022F7B" w:rsidRDefault="00EC4929" w:rsidP="000C6D45">
      <w:pPr>
        <w:pStyle w:val="Heading4"/>
      </w:pPr>
      <w:r>
        <w:t>Relative frequency of LOR2 d</w:t>
      </w:r>
      <w:r w:rsidR="00022F7B" w:rsidRPr="002C1AE2">
        <w:t xml:space="preserve">eclarations in each region </w:t>
      </w:r>
      <w:r w:rsidR="005A4C61">
        <w:t xml:space="preserve">except Tasmania </w:t>
      </w:r>
    </w:p>
    <w:p w14:paraId="354A9AE8" w14:textId="5238E3DF" w:rsidR="00022F7B" w:rsidRPr="002C1AE2" w:rsidRDefault="00022F7B" w:rsidP="000C6D45">
      <w:pPr>
        <w:pStyle w:val="BodyText"/>
      </w:pPr>
      <w:r w:rsidRPr="002C1AE2">
        <w:t>The process used for this is as follows</w:t>
      </w:r>
      <w:r w:rsidR="005D1D4D">
        <w:t>:</w:t>
      </w:r>
    </w:p>
    <w:p w14:paraId="0A25997D" w14:textId="077A75A2" w:rsidR="00022F7B" w:rsidRPr="002C1AE2" w:rsidRDefault="00022F7B" w:rsidP="004323EB">
      <w:pPr>
        <w:pStyle w:val="ListNumber"/>
        <w:numPr>
          <w:ilvl w:val="0"/>
          <w:numId w:val="39"/>
        </w:numPr>
      </w:pPr>
      <w:r>
        <w:t>For the same confidence level for FUM, region and forecasting horizon</w:t>
      </w:r>
      <w:r w:rsidR="005D1D4D">
        <w:t>,</w:t>
      </w:r>
      <w:r>
        <w:t xml:space="preserve"> e</w:t>
      </w:r>
      <w:r w:rsidRPr="002C1AE2">
        <w:t>stimat</w:t>
      </w:r>
      <w:r>
        <w:t xml:space="preserve">e the LOR2 level for each </w:t>
      </w:r>
      <w:r w:rsidR="007322FC">
        <w:t>trading interval (</w:t>
      </w:r>
      <w:r>
        <w:t>TI</w:t>
      </w:r>
      <w:r w:rsidR="007322FC">
        <w:t>)</w:t>
      </w:r>
      <w:r>
        <w:t xml:space="preserve"> in the </w:t>
      </w:r>
      <w:r w:rsidR="00270553">
        <w:t>six</w:t>
      </w:r>
      <w:r>
        <w:t xml:space="preserve"> year period</w:t>
      </w:r>
      <w:r w:rsidR="002D65D8">
        <w:t xml:space="preserve"> ending 1 August</w:t>
      </w:r>
      <w:r w:rsidR="00490B36">
        <w:t xml:space="preserve"> 2017</w:t>
      </w:r>
      <w:r w:rsidR="005D1D4D">
        <w:t>.</w:t>
      </w:r>
      <w:r>
        <w:t xml:space="preserve"> </w:t>
      </w:r>
    </w:p>
    <w:p w14:paraId="5F7E16C4" w14:textId="0A1FE0C3" w:rsidR="00022F7B" w:rsidRDefault="00022F7B" w:rsidP="004323EB">
      <w:pPr>
        <w:pStyle w:val="ListNumber"/>
      </w:pPr>
      <w:r>
        <w:t>Determine number of TIs</w:t>
      </w:r>
      <w:r w:rsidRPr="002C1AE2">
        <w:t xml:space="preserve"> that </w:t>
      </w:r>
      <w:r>
        <w:t>forecast reserve value</w:t>
      </w:r>
      <w:r w:rsidRPr="002C1AE2">
        <w:t xml:space="preserve"> is less than </w:t>
      </w:r>
      <w:r>
        <w:t xml:space="preserve">this </w:t>
      </w:r>
      <w:r w:rsidRPr="002C1AE2">
        <w:t>LOR2 va</w:t>
      </w:r>
      <w:r>
        <w:t>lue (i.e. LOR2 condition assumed declared for that TI)</w:t>
      </w:r>
      <w:r w:rsidR="005D1D4D">
        <w:t>.</w:t>
      </w:r>
    </w:p>
    <w:p w14:paraId="19B8653C" w14:textId="0081E5DE" w:rsidR="00270553" w:rsidRPr="002C1AE2" w:rsidRDefault="00270553" w:rsidP="004323EB">
      <w:pPr>
        <w:pStyle w:val="ListNumber"/>
      </w:pPr>
      <w:r>
        <w:t>Repeat the analysis for the same set of PASA Runs but this time with FUM set to zero (i.e. the current arrangement where LOR2 levels are determined solely by the contingency risks)</w:t>
      </w:r>
      <w:r w:rsidR="008A0507">
        <w:t>.</w:t>
      </w:r>
      <w:r>
        <w:t xml:space="preserve"> </w:t>
      </w:r>
    </w:p>
    <w:p w14:paraId="3B516D8D" w14:textId="7FFF7BA0" w:rsidR="00022F7B" w:rsidRPr="002C1AE2" w:rsidRDefault="00022F7B" w:rsidP="000C6D45">
      <w:pPr>
        <w:pStyle w:val="BodyText"/>
      </w:pPr>
      <w:r>
        <w:t>T</w:t>
      </w:r>
      <w:r w:rsidRPr="002C1AE2">
        <w:t>his process does not aim to forecast the number of LOR2 declarations in the future</w:t>
      </w:r>
      <w:r w:rsidR="007322FC">
        <w:t>,</w:t>
      </w:r>
      <w:r w:rsidRPr="002C1AE2">
        <w:t xml:space="preserve"> but rather to provide an indication of sensitivity of the number of declarations to changes in the confidence level. </w:t>
      </w:r>
    </w:p>
    <w:p w14:paraId="26AFE071" w14:textId="2BAAA2E6" w:rsidR="00EC4929" w:rsidRDefault="00022F7B" w:rsidP="000C6D45">
      <w:pPr>
        <w:pStyle w:val="Heading4"/>
      </w:pPr>
      <w:r w:rsidRPr="002C1AE2">
        <w:t>Relative frequ</w:t>
      </w:r>
      <w:r w:rsidR="00EC4929">
        <w:t>ency of LOR1 d</w:t>
      </w:r>
      <w:r>
        <w:t xml:space="preserve">eclarations in each </w:t>
      </w:r>
      <w:r w:rsidRPr="002C1AE2">
        <w:t>Region</w:t>
      </w:r>
      <w:r w:rsidR="005A4C61">
        <w:t xml:space="preserve"> except Tasmania</w:t>
      </w:r>
    </w:p>
    <w:p w14:paraId="5F4696E0" w14:textId="654DC7AE" w:rsidR="00022F7B" w:rsidRPr="00EC4929" w:rsidRDefault="00022F7B" w:rsidP="000C6D45">
      <w:pPr>
        <w:pStyle w:val="BodyText"/>
        <w:rPr>
          <w:b/>
          <w:bCs/>
        </w:rPr>
      </w:pPr>
      <w:r w:rsidRPr="002C1AE2">
        <w:t>The process used for this is as follows</w:t>
      </w:r>
      <w:r w:rsidR="007322FC">
        <w:t>:</w:t>
      </w:r>
    </w:p>
    <w:p w14:paraId="3216FCC5" w14:textId="37E62809" w:rsidR="00022F7B" w:rsidRDefault="00022F7B" w:rsidP="007322FC">
      <w:pPr>
        <w:pStyle w:val="ListNumber"/>
        <w:numPr>
          <w:ilvl w:val="0"/>
          <w:numId w:val="40"/>
        </w:numPr>
      </w:pPr>
      <w:r>
        <w:t>For the same confidence level for FUM, region and forecasting horizon</w:t>
      </w:r>
      <w:r w:rsidR="005D1D4D">
        <w:t>,</w:t>
      </w:r>
      <w:r>
        <w:t xml:space="preserve"> e</w:t>
      </w:r>
      <w:r w:rsidRPr="002C1AE2">
        <w:t>stimat</w:t>
      </w:r>
      <w:r>
        <w:t xml:space="preserve">e the LOR1 level for each TI in the </w:t>
      </w:r>
      <w:r w:rsidR="00490B36">
        <w:t>six</w:t>
      </w:r>
      <w:r>
        <w:t xml:space="preserve"> year period</w:t>
      </w:r>
      <w:r w:rsidR="002D65D8">
        <w:t xml:space="preserve"> ending 1 August</w:t>
      </w:r>
      <w:r w:rsidR="00490B36">
        <w:t xml:space="preserve"> 2017. </w:t>
      </w:r>
    </w:p>
    <w:p w14:paraId="21FFF8E4" w14:textId="580C1555" w:rsidR="007322FC" w:rsidRPr="002C1AE2" w:rsidRDefault="007322FC" w:rsidP="007322FC">
      <w:pPr>
        <w:pStyle w:val="ListNumber"/>
        <w:numPr>
          <w:ilvl w:val="0"/>
          <w:numId w:val="40"/>
        </w:numPr>
      </w:pPr>
      <w:r>
        <w:t>Determine number of TIs</w:t>
      </w:r>
      <w:r w:rsidRPr="002C1AE2">
        <w:t xml:space="preserve"> that </w:t>
      </w:r>
      <w:r>
        <w:t xml:space="preserve">forecast </w:t>
      </w:r>
      <w:r w:rsidRPr="002C1AE2">
        <w:t>reserve val</w:t>
      </w:r>
      <w:r>
        <w:t>ue is less than this LOR1</w:t>
      </w:r>
      <w:r w:rsidRPr="002C1AE2">
        <w:t xml:space="preserve"> va</w:t>
      </w:r>
      <w:r>
        <w:t>lue (i.e. LOR1 condition assumed declared for that TI).</w:t>
      </w:r>
    </w:p>
    <w:p w14:paraId="36EBF2E6" w14:textId="50E1D889" w:rsidR="00022F7B" w:rsidRDefault="007322FC" w:rsidP="007322FC">
      <w:pPr>
        <w:pStyle w:val="ListNumber"/>
      </w:pPr>
      <w:r>
        <w:t>Repeat the analysis for the same set of PASA Runs but this time with FUM set to zero (i.e. the current arrangement where LOR1 levels are determined solely by the contingency risks).</w:t>
      </w:r>
    </w:p>
    <w:p w14:paraId="5FF58698" w14:textId="5443A19F" w:rsidR="00022F7B" w:rsidRPr="002C1AE2" w:rsidRDefault="00022F7B" w:rsidP="000C6D45">
      <w:pPr>
        <w:pStyle w:val="BodyText"/>
      </w:pPr>
      <w:r>
        <w:t xml:space="preserve">The process </w:t>
      </w:r>
      <w:r w:rsidRPr="002C1AE2">
        <w:t>does not aim to forecast the number of LOR1 declarations in the future</w:t>
      </w:r>
      <w:r w:rsidR="008A0507">
        <w:t>,</w:t>
      </w:r>
      <w:r w:rsidRPr="002C1AE2">
        <w:t xml:space="preserve"> but rather to provide an indication of sensitivity of the number of declarations to changes in the confidence level. </w:t>
      </w:r>
    </w:p>
    <w:p w14:paraId="5A7A7781" w14:textId="78D3FAAD" w:rsidR="00022F7B" w:rsidRDefault="004323EB" w:rsidP="000C6D45">
      <w:pPr>
        <w:pStyle w:val="BodyText"/>
      </w:pPr>
      <w:r>
        <w:t xml:space="preserve">The analysis </w:t>
      </w:r>
      <w:r w:rsidR="00D73E3D">
        <w:t>above was</w:t>
      </w:r>
      <w:r w:rsidR="00811441">
        <w:t xml:space="preserve"> undertaken</w:t>
      </w:r>
      <w:r w:rsidR="00022F7B">
        <w:t xml:space="preserve"> for all regions</w:t>
      </w:r>
      <w:r w:rsidR="005724F9">
        <w:t xml:space="preserve"> except Tasmania</w:t>
      </w:r>
      <w:r w:rsidR="00022F7B">
        <w:t xml:space="preserve"> for the following conditions: </w:t>
      </w:r>
    </w:p>
    <w:p w14:paraId="274766EF" w14:textId="77777777" w:rsidR="00022F7B" w:rsidRPr="008A0507" w:rsidRDefault="00022F7B" w:rsidP="004323EB">
      <w:pPr>
        <w:pStyle w:val="ListBullet"/>
      </w:pPr>
      <w:r w:rsidRPr="008A0507">
        <w:t xml:space="preserve">FUM based upon 94 % Confidence level </w:t>
      </w:r>
    </w:p>
    <w:p w14:paraId="794494D8" w14:textId="77777777" w:rsidR="00022F7B" w:rsidRPr="008A0507" w:rsidRDefault="00022F7B" w:rsidP="004323EB">
      <w:pPr>
        <w:pStyle w:val="ListBullet"/>
      </w:pPr>
      <w:r w:rsidRPr="008A0507">
        <w:t xml:space="preserve">FUM based upon 95 % Confidence level </w:t>
      </w:r>
    </w:p>
    <w:p w14:paraId="570F213F" w14:textId="77777777" w:rsidR="00022F7B" w:rsidRPr="008A0507" w:rsidRDefault="00022F7B" w:rsidP="004323EB">
      <w:pPr>
        <w:pStyle w:val="ListBullet"/>
      </w:pPr>
      <w:r w:rsidRPr="008A0507">
        <w:t xml:space="preserve">FUM based upon 96 % Confidence level </w:t>
      </w:r>
    </w:p>
    <w:p w14:paraId="7A7B549C" w14:textId="77777777" w:rsidR="00022F7B" w:rsidRPr="008A0507" w:rsidRDefault="00022F7B" w:rsidP="004323EB">
      <w:pPr>
        <w:pStyle w:val="ListBullet"/>
      </w:pPr>
      <w:r w:rsidRPr="008A0507">
        <w:t xml:space="preserve">FUM based upon 97 % Confidence level </w:t>
      </w:r>
    </w:p>
    <w:p w14:paraId="6869E5FF" w14:textId="77777777" w:rsidR="00022F7B" w:rsidRPr="008A0507" w:rsidRDefault="00022F7B" w:rsidP="004323EB">
      <w:pPr>
        <w:pStyle w:val="ListBullet"/>
      </w:pPr>
      <w:r w:rsidRPr="008A0507">
        <w:t xml:space="preserve">FUM based upon 98 % Confidence level </w:t>
      </w:r>
    </w:p>
    <w:p w14:paraId="183894DA" w14:textId="77777777" w:rsidR="00022F7B" w:rsidRDefault="00022F7B" w:rsidP="00CD7539">
      <w:pPr>
        <w:pStyle w:val="BodyText"/>
      </w:pPr>
      <w:r>
        <w:t xml:space="preserve">and for the following forecasting horizons: </w:t>
      </w:r>
    </w:p>
    <w:p w14:paraId="3100EE5B" w14:textId="3352FB88" w:rsidR="00022F7B" w:rsidRPr="008A0507" w:rsidRDefault="00022F7B" w:rsidP="004323EB">
      <w:pPr>
        <w:pStyle w:val="ListBullet"/>
      </w:pPr>
      <w:r w:rsidRPr="008A0507">
        <w:t>2</w:t>
      </w:r>
      <w:r w:rsidR="00335DE3" w:rsidRPr="008A0507">
        <w:t xml:space="preserve"> hours</w:t>
      </w:r>
      <w:r w:rsidRPr="008A0507">
        <w:t xml:space="preserve"> ahead</w:t>
      </w:r>
    </w:p>
    <w:p w14:paraId="4DB33ACC" w14:textId="63DEF706" w:rsidR="00022F7B" w:rsidRPr="008A0507" w:rsidRDefault="00022F7B" w:rsidP="004323EB">
      <w:pPr>
        <w:pStyle w:val="ListBullet"/>
      </w:pPr>
      <w:r w:rsidRPr="008A0507">
        <w:t>6</w:t>
      </w:r>
      <w:r w:rsidR="002457CE" w:rsidRPr="008A0507">
        <w:t xml:space="preserve"> hours</w:t>
      </w:r>
      <w:r w:rsidRPr="008A0507">
        <w:t xml:space="preserve"> ahead</w:t>
      </w:r>
    </w:p>
    <w:p w14:paraId="011C2D42" w14:textId="4D1ED0A3" w:rsidR="00022F7B" w:rsidRPr="008A0507" w:rsidRDefault="00022F7B" w:rsidP="004323EB">
      <w:pPr>
        <w:pStyle w:val="ListBullet"/>
      </w:pPr>
      <w:r w:rsidRPr="008A0507">
        <w:t xml:space="preserve">9 </w:t>
      </w:r>
      <w:r w:rsidR="002457CE" w:rsidRPr="008A0507">
        <w:t>hours</w:t>
      </w:r>
      <w:r w:rsidRPr="008A0507">
        <w:t xml:space="preserve"> ahead</w:t>
      </w:r>
    </w:p>
    <w:p w14:paraId="6FE38883" w14:textId="73FC532B" w:rsidR="00022F7B" w:rsidRPr="008A0507" w:rsidRDefault="00022F7B" w:rsidP="004323EB">
      <w:pPr>
        <w:pStyle w:val="ListBullet"/>
      </w:pPr>
      <w:r w:rsidRPr="008A0507">
        <w:t>12</w:t>
      </w:r>
      <w:r w:rsidR="002457CE" w:rsidRPr="008A0507">
        <w:t xml:space="preserve"> hours </w:t>
      </w:r>
      <w:r w:rsidRPr="008A0507">
        <w:t>ahead</w:t>
      </w:r>
    </w:p>
    <w:p w14:paraId="06F8F2B8" w14:textId="39C901A6" w:rsidR="00022F7B" w:rsidRPr="008A0507" w:rsidRDefault="00022F7B" w:rsidP="004323EB">
      <w:pPr>
        <w:pStyle w:val="ListBullet"/>
      </w:pPr>
      <w:r w:rsidRPr="008A0507">
        <w:t>24</w:t>
      </w:r>
      <w:r w:rsidR="002457CE" w:rsidRPr="008A0507">
        <w:t xml:space="preserve"> hours </w:t>
      </w:r>
      <w:r w:rsidRPr="008A0507">
        <w:t>ahead</w:t>
      </w:r>
    </w:p>
    <w:p w14:paraId="17842A54" w14:textId="5B2A7D33" w:rsidR="00022F7B" w:rsidRPr="008A0507" w:rsidRDefault="00022F7B" w:rsidP="004323EB">
      <w:pPr>
        <w:pStyle w:val="ListBullet"/>
      </w:pPr>
      <w:r w:rsidRPr="008A0507">
        <w:t xml:space="preserve">48 </w:t>
      </w:r>
      <w:r w:rsidR="002457CE" w:rsidRPr="008A0507">
        <w:t xml:space="preserve">hours </w:t>
      </w:r>
      <w:r w:rsidRPr="008A0507">
        <w:t xml:space="preserve">ahead </w:t>
      </w:r>
    </w:p>
    <w:p w14:paraId="445895CF" w14:textId="5940918C" w:rsidR="00022F7B" w:rsidRPr="008A0507" w:rsidRDefault="00022F7B" w:rsidP="004323EB">
      <w:pPr>
        <w:pStyle w:val="ListBullet"/>
      </w:pPr>
      <w:r w:rsidRPr="008A0507">
        <w:t xml:space="preserve">72 </w:t>
      </w:r>
      <w:r w:rsidR="002457CE" w:rsidRPr="008A0507">
        <w:t xml:space="preserve">hours </w:t>
      </w:r>
      <w:r w:rsidRPr="008A0507">
        <w:t>ahead</w:t>
      </w:r>
      <w:r w:rsidR="002D6B40" w:rsidRPr="008A0507">
        <w:t>.</w:t>
      </w:r>
      <w:r w:rsidRPr="008A0507">
        <w:t xml:space="preserve"> </w:t>
      </w:r>
    </w:p>
    <w:p w14:paraId="1577F002" w14:textId="7744B59B" w:rsidR="00022F7B" w:rsidRPr="002C1AE2" w:rsidRDefault="002D6B40" w:rsidP="000C6D45">
      <w:pPr>
        <w:pStyle w:val="BodyText"/>
      </w:pPr>
      <w:r>
        <w:t>This study is based on</w:t>
      </w:r>
      <w:r w:rsidR="002457CE">
        <w:t xml:space="preserve"> </w:t>
      </w:r>
      <w:r w:rsidR="00022F7B" w:rsidRPr="002C1AE2">
        <w:t>the following assumptions</w:t>
      </w:r>
      <w:r w:rsidR="008A0507">
        <w:t>:</w:t>
      </w:r>
      <w:r w:rsidR="007D2199">
        <w:t xml:space="preserve"> </w:t>
      </w:r>
      <w:r>
        <w:t xml:space="preserve"> </w:t>
      </w:r>
    </w:p>
    <w:p w14:paraId="53AD721F" w14:textId="1A1EAEFB" w:rsidR="00022F7B" w:rsidRPr="008A0507" w:rsidRDefault="004323EB">
      <w:pPr>
        <w:pStyle w:val="ListBullet"/>
      </w:pPr>
      <w:r>
        <w:t xml:space="preserve">Use of recent past history is adequate for the limited purpose of this analysis which is to assess the sensitivity of LOR conditions to the choice of the confidence level for FUM. </w:t>
      </w:r>
    </w:p>
    <w:p w14:paraId="40000067" w14:textId="6F49C85C" w:rsidR="00022F7B" w:rsidRDefault="00022F7B">
      <w:pPr>
        <w:pStyle w:val="ListBullet"/>
      </w:pPr>
      <w:r w:rsidRPr="008A0507">
        <w:t xml:space="preserve">LCR and LCR2 </w:t>
      </w:r>
      <w:r w:rsidR="002D6B40" w:rsidRPr="008A0507">
        <w:t>value</w:t>
      </w:r>
      <w:r w:rsidR="002D6B40">
        <w:t xml:space="preserve">s </w:t>
      </w:r>
      <w:r>
        <w:t>are</w:t>
      </w:r>
      <w:r w:rsidRPr="002C1AE2">
        <w:t xml:space="preserve"> assumed to be</w:t>
      </w:r>
      <w:r>
        <w:t xml:space="preserve"> as per normal current practice. </w:t>
      </w:r>
    </w:p>
    <w:p w14:paraId="45488D19" w14:textId="21F7F7C4" w:rsidR="005A4C61" w:rsidRDefault="005A4C61" w:rsidP="004323EB">
      <w:pPr>
        <w:pStyle w:val="BodyText"/>
      </w:pPr>
      <w:r>
        <w:t xml:space="preserve">In the case of the Tasmanian </w:t>
      </w:r>
      <w:r w:rsidR="007322FC">
        <w:t>r</w:t>
      </w:r>
      <w:r>
        <w:t>egion</w:t>
      </w:r>
      <w:r w:rsidR="005724F9">
        <w:t>,</w:t>
      </w:r>
      <w:r>
        <w:t xml:space="preserve"> this approach was not feasible for the following reasons</w:t>
      </w:r>
      <w:r w:rsidR="007D4C0A">
        <w:t>:</w:t>
      </w:r>
      <w:r>
        <w:t xml:space="preserve"> </w:t>
      </w:r>
    </w:p>
    <w:p w14:paraId="0A0B8B9D" w14:textId="76DB3CE8" w:rsidR="005A4C61" w:rsidRPr="008C5E13" w:rsidRDefault="008C5E13">
      <w:pPr>
        <w:pStyle w:val="ListBullet"/>
      </w:pPr>
      <w:r>
        <w:t>T</w:t>
      </w:r>
      <w:r w:rsidR="00AE2E05">
        <w:t>he</w:t>
      </w:r>
      <w:r w:rsidR="00AE2E05" w:rsidRPr="008C5E13">
        <w:t xml:space="preserve"> </w:t>
      </w:r>
      <w:r w:rsidR="005A4C61" w:rsidRPr="008C5E13">
        <w:t xml:space="preserve">level of capacity reserves in Tasmania are </w:t>
      </w:r>
      <w:r w:rsidR="007D4C0A" w:rsidRPr="008C5E13">
        <w:t>usually relatively high and lack of reserve conditions are very rare</w:t>
      </w:r>
      <w:r>
        <w:t>.</w:t>
      </w:r>
    </w:p>
    <w:p w14:paraId="56056475" w14:textId="0555C77C" w:rsidR="007D4C0A" w:rsidRDefault="008C5E13">
      <w:pPr>
        <w:pStyle w:val="ListBullet"/>
      </w:pPr>
      <w:r>
        <w:t>T</w:t>
      </w:r>
      <w:r w:rsidR="007D4C0A" w:rsidRPr="008C5E13">
        <w:t>he LCR level is usually also relatively high and is expected to be, under most conditions, in excess of FUM v</w:t>
      </w:r>
      <w:r w:rsidR="007D4C0A">
        <w:t xml:space="preserve">alues meaning that the LOR levels will be </w:t>
      </w:r>
      <w:r w:rsidR="00E82782">
        <w:t xml:space="preserve">largely </w:t>
      </w:r>
      <w:r w:rsidR="007D4C0A">
        <w:t xml:space="preserve">determined by the values of LCR and LCR2. </w:t>
      </w:r>
    </w:p>
    <w:p w14:paraId="0453DAC0" w14:textId="46D282F7" w:rsidR="007D4C0A" w:rsidRDefault="007D4C0A" w:rsidP="00B11D62">
      <w:pPr>
        <w:pStyle w:val="ListBullet"/>
        <w:numPr>
          <w:ilvl w:val="0"/>
          <w:numId w:val="0"/>
        </w:numPr>
        <w:ind w:left="142"/>
      </w:pPr>
      <w:r>
        <w:t xml:space="preserve">For these reasons it has been decided to initially set the confidence levels for FUM values in the Tasmanian </w:t>
      </w:r>
      <w:r w:rsidR="007322FC">
        <w:t>r</w:t>
      </w:r>
      <w:r>
        <w:t xml:space="preserve">egion at the same levels selected for the other regions. </w:t>
      </w:r>
    </w:p>
    <w:p w14:paraId="2CAC514D" w14:textId="5A5A461E" w:rsidR="00022F7B" w:rsidRDefault="009A4EFE" w:rsidP="009A4EFE">
      <w:pPr>
        <w:pStyle w:val="Heading3"/>
      </w:pPr>
      <w:bookmarkStart w:id="24" w:name="_Ref501005665"/>
      <w:r>
        <w:t>Results</w:t>
      </w:r>
      <w:bookmarkEnd w:id="24"/>
    </w:p>
    <w:p w14:paraId="2A27F7CD" w14:textId="46AAE636" w:rsidR="009A4EFE" w:rsidRPr="000C6D45" w:rsidRDefault="009A4EFE" w:rsidP="000C6D45">
      <w:pPr>
        <w:pStyle w:val="BodyText"/>
      </w:pPr>
      <w:r w:rsidRPr="000C6D45">
        <w:t>The results of this process are presented in Appendix B for each region</w:t>
      </w:r>
      <w:r w:rsidR="005A4C61">
        <w:t xml:space="preserve"> except </w:t>
      </w:r>
      <w:r w:rsidR="007D4C0A">
        <w:t xml:space="preserve">Tasmania </w:t>
      </w:r>
      <w:r w:rsidR="007D4C0A" w:rsidRPr="000C6D45">
        <w:t>and</w:t>
      </w:r>
      <w:r w:rsidRPr="000C6D45">
        <w:t xml:space="preserve"> each of the forecast horizons specified above.</w:t>
      </w:r>
    </w:p>
    <w:p w14:paraId="73535C59" w14:textId="3426DAEB" w:rsidR="009A4EFE" w:rsidRDefault="009A4EFE">
      <w:pPr>
        <w:pStyle w:val="BodyText"/>
      </w:pPr>
      <w:r w:rsidRPr="000C6D45">
        <w:t>In each case the appropriate confidence level was chosen by increa</w:t>
      </w:r>
      <w:r w:rsidR="00811441" w:rsidRPr="000C6D45">
        <w:t>sing the confidence level</w:t>
      </w:r>
      <w:r w:rsidR="00A51C4C" w:rsidRPr="000C6D45">
        <w:t>,</w:t>
      </w:r>
      <w:r w:rsidR="00811441" w:rsidRPr="000C6D45">
        <w:t xml:space="preserve"> if this reduced</w:t>
      </w:r>
      <w:r w:rsidRPr="000C6D45">
        <w:t xml:space="preserve"> risk</w:t>
      </w:r>
      <w:r w:rsidR="00A51C4C" w:rsidRPr="000C6D45">
        <w:t>,</w:t>
      </w:r>
      <w:r w:rsidRPr="000C6D45">
        <w:t xml:space="preserve"> until a point is reached where there is a significant rise in the number of trading intervals for which there are LOR2 or LOR1 conditions. </w:t>
      </w:r>
    </w:p>
    <w:p w14:paraId="1BAFFBDF" w14:textId="5E474E9B" w:rsidR="004C5E23" w:rsidRPr="00CD7539" w:rsidRDefault="004C5E23" w:rsidP="00B11D62">
      <w:pPr>
        <w:spacing w:after="0" w:line="240" w:lineRule="auto"/>
        <w:jc w:val="left"/>
      </w:pPr>
      <w:r w:rsidRPr="00CD7539">
        <w:t>In this context</w:t>
      </w:r>
      <w:r w:rsidR="008C5E13">
        <w:t>,</w:t>
      </w:r>
      <w:r w:rsidRPr="00CD7539">
        <w:t xml:space="preserve"> </w:t>
      </w:r>
      <w:r>
        <w:t>“</w:t>
      </w:r>
      <w:r w:rsidRPr="00CD7539">
        <w:t>significant</w:t>
      </w:r>
      <w:r>
        <w:t>”</w:t>
      </w:r>
      <w:r w:rsidRPr="00CD7539">
        <w:t xml:space="preserve"> means </w:t>
      </w:r>
    </w:p>
    <w:p w14:paraId="495E5402" w14:textId="276E6A0A" w:rsidR="004C5E23" w:rsidRPr="00A8658E" w:rsidRDefault="004C5E23" w:rsidP="002B6ED0">
      <w:pPr>
        <w:pStyle w:val="ListBullet"/>
      </w:pPr>
      <w:r w:rsidRPr="00CD7539">
        <w:t xml:space="preserve">For forecasting horizons </w:t>
      </w:r>
      <w:r w:rsidRPr="00B11D62">
        <w:t xml:space="preserve">of </w:t>
      </w:r>
      <w:r w:rsidR="00E82782">
        <w:t xml:space="preserve"> 24</w:t>
      </w:r>
      <w:r w:rsidRPr="00B11D62">
        <w:t>hrs ahead or less</w:t>
      </w:r>
      <w:r w:rsidR="007322FC">
        <w:t>,</w:t>
      </w:r>
      <w:r w:rsidRPr="00B11D62">
        <w:t xml:space="preserve"> </w:t>
      </w:r>
      <w:r w:rsidRPr="00CD7539">
        <w:t>greater than 50% increase from FUM=0 case except where incre</w:t>
      </w:r>
      <w:r w:rsidRPr="00A8658E">
        <w:t>ase is less than</w:t>
      </w:r>
      <w:r w:rsidR="007322FC">
        <w:t>:</w:t>
      </w:r>
      <w:r w:rsidRPr="00A8658E">
        <w:t xml:space="preserve"> </w:t>
      </w:r>
    </w:p>
    <w:p w14:paraId="42C99AD5" w14:textId="6444E53F" w:rsidR="004C5E23" w:rsidRPr="00A8658E" w:rsidRDefault="007322FC" w:rsidP="002B6ED0">
      <w:pPr>
        <w:pStyle w:val="ListBullet2"/>
      </w:pPr>
      <w:r>
        <w:t>F</w:t>
      </w:r>
      <w:r w:rsidR="004C5E23" w:rsidRPr="00A8658E">
        <w:t>or LOR1 conditions</w:t>
      </w:r>
      <w:r w:rsidR="008C5E13">
        <w:t>,</w:t>
      </w:r>
      <w:r w:rsidR="004C5E23" w:rsidRPr="00A8658E">
        <w:t xml:space="preserve"> 96 extra TIs over the six year period</w:t>
      </w:r>
      <w:r w:rsidR="008C5E13">
        <w:t>.</w:t>
      </w:r>
    </w:p>
    <w:p w14:paraId="4B45A981" w14:textId="59F46E32" w:rsidR="004C5E23" w:rsidRPr="00A8658E" w:rsidRDefault="007322FC" w:rsidP="002B6ED0">
      <w:pPr>
        <w:pStyle w:val="ListBullet2"/>
      </w:pPr>
      <w:r>
        <w:t>F</w:t>
      </w:r>
      <w:r w:rsidR="004C5E23" w:rsidRPr="00A8658E">
        <w:t>or LOR2 conditions</w:t>
      </w:r>
      <w:r w:rsidR="008C5E13">
        <w:t>,</w:t>
      </w:r>
      <w:r w:rsidR="004C5E23" w:rsidRPr="00A8658E">
        <w:t> 48 extra TIs over the six year period</w:t>
      </w:r>
      <w:r w:rsidR="008C5E13">
        <w:t>.</w:t>
      </w:r>
    </w:p>
    <w:p w14:paraId="4A84A8AF" w14:textId="1E208C64" w:rsidR="004C5E23" w:rsidRPr="00B11D62" w:rsidRDefault="004C5E23" w:rsidP="002B6ED0">
      <w:pPr>
        <w:pStyle w:val="ListBullet"/>
      </w:pPr>
      <w:r w:rsidRPr="00B11D62">
        <w:t>For fore</w:t>
      </w:r>
      <w:r w:rsidR="00E82782" w:rsidRPr="00E82782">
        <w:t xml:space="preserve">casting horizons of more than 24 </w:t>
      </w:r>
      <w:r w:rsidRPr="00B11D62">
        <w:t>hrs ahead</w:t>
      </w:r>
      <w:r w:rsidR="008C5E13">
        <w:t>,</w:t>
      </w:r>
      <w:r w:rsidRPr="00B11D62">
        <w:t xml:space="preserve"> greater than 100% increase from FUM=0 case</w:t>
      </w:r>
      <w:r w:rsidR="008C5E13">
        <w:t>,</w:t>
      </w:r>
      <w:r w:rsidRPr="00B11D62">
        <w:t xml:space="preserve"> except where increase is less than</w:t>
      </w:r>
      <w:r w:rsidR="007322FC">
        <w:t>:</w:t>
      </w:r>
      <w:r w:rsidRPr="00B11D62">
        <w:t xml:space="preserve"> </w:t>
      </w:r>
    </w:p>
    <w:p w14:paraId="5E480DDA" w14:textId="20563A61" w:rsidR="004C5E23" w:rsidRPr="00B11D62" w:rsidRDefault="008C5E13" w:rsidP="002B6ED0">
      <w:pPr>
        <w:pStyle w:val="ListBullet2"/>
      </w:pPr>
      <w:r>
        <w:t>F</w:t>
      </w:r>
      <w:r w:rsidR="00E82782" w:rsidRPr="00E82782">
        <w:t xml:space="preserve">or LOR1 </w:t>
      </w:r>
      <w:r w:rsidR="004C5E23" w:rsidRPr="00B11D62">
        <w:t>conditions</w:t>
      </w:r>
      <w:r>
        <w:t>,</w:t>
      </w:r>
      <w:r w:rsidR="004C5E23" w:rsidRPr="00B11D62">
        <w:t> 288 extra TIs over the six year period</w:t>
      </w:r>
      <w:r>
        <w:t>.</w:t>
      </w:r>
    </w:p>
    <w:p w14:paraId="0D483A97" w14:textId="7F8A4499" w:rsidR="004C5E23" w:rsidRPr="00B11D62" w:rsidRDefault="008C5E13" w:rsidP="002B6ED0">
      <w:pPr>
        <w:pStyle w:val="ListBullet2"/>
      </w:pPr>
      <w:r>
        <w:t>F</w:t>
      </w:r>
      <w:r w:rsidR="004C5E23" w:rsidRPr="00B11D62">
        <w:t xml:space="preserve">or </w:t>
      </w:r>
      <w:r w:rsidR="00E82782" w:rsidRPr="00E82782">
        <w:t>LOR2 conditions</w:t>
      </w:r>
      <w:r>
        <w:t>,</w:t>
      </w:r>
      <w:r w:rsidR="00E82782" w:rsidRPr="00E82782">
        <w:t xml:space="preserve"> </w:t>
      </w:r>
      <w:r w:rsidR="002B6ED0" w:rsidRPr="00E82782">
        <w:t>288</w:t>
      </w:r>
      <w:r w:rsidR="002B6ED0" w:rsidRPr="00B11D62">
        <w:t xml:space="preserve"> extra</w:t>
      </w:r>
      <w:r w:rsidR="004C5E23" w:rsidRPr="00B11D62">
        <w:t xml:space="preserve"> TIs over the six year period</w:t>
      </w:r>
      <w:r w:rsidR="00E82782">
        <w:t>.</w:t>
      </w:r>
    </w:p>
    <w:p w14:paraId="26FC76E4" w14:textId="3F6AFFAA" w:rsidR="004C5E23" w:rsidRDefault="004C5E23" w:rsidP="002B6ED0">
      <w:pPr>
        <w:pStyle w:val="BodyText"/>
      </w:pPr>
      <w:r>
        <w:t>Chosen confidence level</w:t>
      </w:r>
      <w:r w:rsidR="008C5E13">
        <w:t>s</w:t>
      </w:r>
      <w:r>
        <w:t xml:space="preserve"> were then adjusted so that they decrease monotonically with increasing forecast horizon</w:t>
      </w:r>
      <w:r w:rsidR="005724F9">
        <w:t>.</w:t>
      </w:r>
      <w:r>
        <w:t xml:space="preserve"> </w:t>
      </w:r>
    </w:p>
    <w:p w14:paraId="065EC39E" w14:textId="30067B84" w:rsidR="005A4C61" w:rsidRPr="005A4C61" w:rsidRDefault="005A4C61" w:rsidP="002B6ED0">
      <w:pPr>
        <w:pStyle w:val="BodyText"/>
        <w:rPr>
          <w:rFonts w:ascii="Calibri" w:eastAsiaTheme="minorHAnsi" w:hAnsi="Calibri"/>
          <w:szCs w:val="22"/>
        </w:rPr>
      </w:pPr>
      <w:r>
        <w:t>Finally</w:t>
      </w:r>
      <w:r w:rsidR="008C5E13">
        <w:t>,</w:t>
      </w:r>
      <w:r>
        <w:t xml:space="preserve"> confidence levels </w:t>
      </w:r>
      <w:r w:rsidR="00AE2E05">
        <w:t xml:space="preserve">were adjusted </w:t>
      </w:r>
      <w:r>
        <w:t>to be uniform across all regions fo</w:t>
      </w:r>
      <w:r w:rsidR="00AE2E05">
        <w:t xml:space="preserve">r the same forecasting horizon without materially breaching the other criteria. </w:t>
      </w:r>
    </w:p>
    <w:p w14:paraId="3EDABF90" w14:textId="72D1CFF9" w:rsidR="002D6B40" w:rsidRDefault="002D6B40" w:rsidP="002B6ED0">
      <w:pPr>
        <w:pStyle w:val="BodyText"/>
      </w:pPr>
      <w:r w:rsidRPr="00B11D62">
        <w:t xml:space="preserve">The adoption of </w:t>
      </w:r>
      <w:r w:rsidR="002C2B44">
        <w:t>these</w:t>
      </w:r>
      <w:r w:rsidR="002C2B44" w:rsidRPr="00B11D62">
        <w:t xml:space="preserve"> </w:t>
      </w:r>
      <w:r w:rsidRPr="00B11D62">
        <w:t>criteria means there will be a material increase in the number of declared forecast conditions for longer forecasting horizons. AEMO believes this is appropriate</w:t>
      </w:r>
      <w:r w:rsidR="008C5E13">
        <w:t>, because</w:t>
      </w:r>
      <w:r w:rsidRPr="00B11D62">
        <w:t xml:space="preserve"> it reflects the significantly increased levels of forecast uncertainty for these longer forecasting horizons. The study results</w:t>
      </w:r>
      <w:r w:rsidR="00E72327" w:rsidRPr="008336A7">
        <w:t xml:space="preserve"> suggests</w:t>
      </w:r>
      <w:r w:rsidRPr="00B11D62">
        <w:t xml:space="preserve"> that the significant increases in declared forecast conditions are likely to be of the following order</w:t>
      </w:r>
      <w:r w:rsidR="008C5E13">
        <w:t>.</w:t>
      </w:r>
    </w:p>
    <w:p w14:paraId="2AF0DC1D" w14:textId="4CCF10FB" w:rsidR="00E82782" w:rsidRDefault="00E82782" w:rsidP="00B11D62">
      <w:pPr>
        <w:pStyle w:val="CaptionTable"/>
      </w:pPr>
      <w:bookmarkStart w:id="25" w:name="_Toc501111518"/>
      <w:r>
        <w:t>Significant increases in declared forecast conditions relative to current arrangements</w:t>
      </w:r>
      <w:bookmarkEnd w:id="25"/>
    </w:p>
    <w:tbl>
      <w:tblPr>
        <w:tblStyle w:val="AEMOTable"/>
        <w:tblW w:w="0" w:type="auto"/>
        <w:tblLook w:val="04A0" w:firstRow="1" w:lastRow="0" w:firstColumn="1" w:lastColumn="0" w:noHBand="0" w:noVBand="1"/>
      </w:tblPr>
      <w:tblGrid>
        <w:gridCol w:w="993"/>
        <w:gridCol w:w="1984"/>
        <w:gridCol w:w="5954"/>
      </w:tblGrid>
      <w:tr w:rsidR="00AE2E05" w14:paraId="1263B129" w14:textId="77777777" w:rsidTr="00AE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3030377B" w14:textId="77777777" w:rsidR="00AE2E05" w:rsidRDefault="00AE2E05" w:rsidP="002B6ED0">
            <w:pPr>
              <w:pStyle w:val="TableTitle"/>
              <w:rPr>
                <w:rFonts w:ascii="Calibri" w:eastAsiaTheme="minorHAnsi" w:hAnsi="Calibri"/>
                <w:szCs w:val="22"/>
              </w:rPr>
            </w:pPr>
            <w:r w:rsidRPr="00B11D62">
              <w:t>Region</w:t>
            </w:r>
            <w:r>
              <w:t xml:space="preserve"> </w:t>
            </w:r>
          </w:p>
        </w:tc>
        <w:tc>
          <w:tcPr>
            <w:tcW w:w="1984" w:type="dxa"/>
            <w:hideMark/>
          </w:tcPr>
          <w:p w14:paraId="44CD3882" w14:textId="762475B8" w:rsidR="00AE2E05" w:rsidRDefault="00AE2E05" w:rsidP="002B6ED0">
            <w:pPr>
              <w:pStyle w:val="TableTitle"/>
              <w:cnfStyle w:val="100000000000" w:firstRow="1" w:lastRow="0" w:firstColumn="0" w:lastColumn="0" w:oddVBand="0" w:evenVBand="0" w:oddHBand="0" w:evenHBand="0" w:firstRowFirstColumn="0" w:firstRowLastColumn="0" w:lastRowFirstColumn="0" w:lastRowLastColumn="0"/>
            </w:pPr>
            <w:r>
              <w:t xml:space="preserve">Forecasting </w:t>
            </w:r>
            <w:r w:rsidR="008C5E13">
              <w:t>h</w:t>
            </w:r>
            <w:r>
              <w:t>orizon (hrs)</w:t>
            </w:r>
          </w:p>
        </w:tc>
        <w:tc>
          <w:tcPr>
            <w:tcW w:w="5954" w:type="dxa"/>
            <w:hideMark/>
          </w:tcPr>
          <w:p w14:paraId="0FFDB05E" w14:textId="77777777" w:rsidR="00AE2E05" w:rsidRDefault="00AE2E05" w:rsidP="002B6ED0">
            <w:pPr>
              <w:pStyle w:val="TableTitle"/>
              <w:cnfStyle w:val="100000000000" w:firstRow="1" w:lastRow="0" w:firstColumn="0" w:lastColumn="0" w:oddVBand="0" w:evenVBand="0" w:oddHBand="0" w:evenHBand="0" w:firstRowFirstColumn="0" w:firstRowLastColumn="0" w:lastRowFirstColumn="0" w:lastRowLastColumn="0"/>
            </w:pPr>
            <w:r>
              <w:t xml:space="preserve">Increased number of TIs with declared condition (per annum) </w:t>
            </w:r>
          </w:p>
        </w:tc>
      </w:tr>
      <w:tr w:rsidR="00AE2E05" w14:paraId="5A6F29A0" w14:textId="77777777" w:rsidTr="00AE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15902F6A" w14:textId="77777777" w:rsidR="00AE2E05" w:rsidRDefault="00AE2E05" w:rsidP="002B6ED0">
            <w:pPr>
              <w:pStyle w:val="TableText"/>
            </w:pPr>
            <w:r>
              <w:t>NSW</w:t>
            </w:r>
          </w:p>
        </w:tc>
        <w:tc>
          <w:tcPr>
            <w:tcW w:w="1984" w:type="dxa"/>
            <w:hideMark/>
          </w:tcPr>
          <w:p w14:paraId="5777ADDA"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 xml:space="preserve">24 </w:t>
            </w:r>
          </w:p>
        </w:tc>
        <w:tc>
          <w:tcPr>
            <w:tcW w:w="5954" w:type="dxa"/>
            <w:hideMark/>
          </w:tcPr>
          <w:p w14:paraId="255574D1"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LOR2  increase by ~ 6 TIs</w:t>
            </w:r>
          </w:p>
        </w:tc>
      </w:tr>
      <w:tr w:rsidR="00AE2E05" w14:paraId="4B0012E5" w14:textId="77777777" w:rsidTr="00AE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59CC5B3" w14:textId="77777777" w:rsidR="00AE2E05" w:rsidRDefault="00AE2E05" w:rsidP="002B6ED0">
            <w:pPr>
              <w:pStyle w:val="TableText"/>
            </w:pPr>
            <w:r>
              <w:t>NSW</w:t>
            </w:r>
          </w:p>
        </w:tc>
        <w:tc>
          <w:tcPr>
            <w:tcW w:w="1984" w:type="dxa"/>
            <w:hideMark/>
          </w:tcPr>
          <w:p w14:paraId="1A59576B"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 xml:space="preserve">48 </w:t>
            </w:r>
          </w:p>
        </w:tc>
        <w:tc>
          <w:tcPr>
            <w:tcW w:w="5954" w:type="dxa"/>
            <w:hideMark/>
          </w:tcPr>
          <w:p w14:paraId="707B7338"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LOR2  increase by ~ 15 TIs</w:t>
            </w:r>
          </w:p>
        </w:tc>
      </w:tr>
      <w:tr w:rsidR="00AE2E05" w14:paraId="46610800" w14:textId="77777777" w:rsidTr="00AE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5CE1B63A" w14:textId="77777777" w:rsidR="00AE2E05" w:rsidRDefault="00AE2E05" w:rsidP="002B6ED0">
            <w:pPr>
              <w:pStyle w:val="TableText"/>
            </w:pPr>
            <w:r>
              <w:t xml:space="preserve">NSW </w:t>
            </w:r>
          </w:p>
        </w:tc>
        <w:tc>
          <w:tcPr>
            <w:tcW w:w="1984" w:type="dxa"/>
            <w:hideMark/>
          </w:tcPr>
          <w:p w14:paraId="5A18C382"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72</w:t>
            </w:r>
          </w:p>
        </w:tc>
        <w:tc>
          <w:tcPr>
            <w:tcW w:w="5954" w:type="dxa"/>
            <w:hideMark/>
          </w:tcPr>
          <w:p w14:paraId="03113669"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LOR2  increase by ~ 16 TIs</w:t>
            </w:r>
          </w:p>
        </w:tc>
      </w:tr>
      <w:tr w:rsidR="00AE2E05" w14:paraId="5ABD4A44" w14:textId="77777777" w:rsidTr="00AE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137CC823" w14:textId="77777777" w:rsidR="00AE2E05" w:rsidRDefault="00AE2E05" w:rsidP="002B6ED0">
            <w:pPr>
              <w:pStyle w:val="TableText"/>
            </w:pPr>
            <w:r>
              <w:t xml:space="preserve">SA </w:t>
            </w:r>
          </w:p>
        </w:tc>
        <w:tc>
          <w:tcPr>
            <w:tcW w:w="1984" w:type="dxa"/>
            <w:hideMark/>
          </w:tcPr>
          <w:p w14:paraId="3516B2EB"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12</w:t>
            </w:r>
          </w:p>
        </w:tc>
        <w:tc>
          <w:tcPr>
            <w:tcW w:w="5954" w:type="dxa"/>
            <w:hideMark/>
          </w:tcPr>
          <w:p w14:paraId="42DAB0CC"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LOR2  increase by ~  5 TIs</w:t>
            </w:r>
          </w:p>
        </w:tc>
      </w:tr>
      <w:tr w:rsidR="00AE2E05" w14:paraId="08849A01" w14:textId="77777777" w:rsidTr="00AE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2AD6E979" w14:textId="77777777" w:rsidR="00AE2E05" w:rsidRDefault="00AE2E05" w:rsidP="002B6ED0">
            <w:pPr>
              <w:pStyle w:val="TableText"/>
            </w:pPr>
            <w:r>
              <w:t>SA</w:t>
            </w:r>
          </w:p>
        </w:tc>
        <w:tc>
          <w:tcPr>
            <w:tcW w:w="1984" w:type="dxa"/>
            <w:hideMark/>
          </w:tcPr>
          <w:p w14:paraId="11C78779"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48</w:t>
            </w:r>
          </w:p>
        </w:tc>
        <w:tc>
          <w:tcPr>
            <w:tcW w:w="5954" w:type="dxa"/>
            <w:hideMark/>
          </w:tcPr>
          <w:p w14:paraId="2EA4EF7F"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LOR2  increase by ~  43 TIs</w:t>
            </w:r>
          </w:p>
        </w:tc>
      </w:tr>
      <w:tr w:rsidR="00AE2E05" w14:paraId="338DC7F6" w14:textId="77777777" w:rsidTr="00AE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6214DB0C" w14:textId="77777777" w:rsidR="00AE2E05" w:rsidRDefault="00AE2E05" w:rsidP="002B6ED0">
            <w:pPr>
              <w:pStyle w:val="TableText"/>
            </w:pPr>
            <w:r>
              <w:t>SA</w:t>
            </w:r>
          </w:p>
        </w:tc>
        <w:tc>
          <w:tcPr>
            <w:tcW w:w="1984" w:type="dxa"/>
            <w:hideMark/>
          </w:tcPr>
          <w:p w14:paraId="55244E86"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72</w:t>
            </w:r>
          </w:p>
        </w:tc>
        <w:tc>
          <w:tcPr>
            <w:tcW w:w="5954" w:type="dxa"/>
            <w:hideMark/>
          </w:tcPr>
          <w:p w14:paraId="6CE54B7C" w14:textId="77777777" w:rsidR="00AE2E05" w:rsidRDefault="00AE2E05" w:rsidP="002B6ED0">
            <w:pPr>
              <w:pStyle w:val="TableText"/>
              <w:cnfStyle w:val="000000010000" w:firstRow="0" w:lastRow="0" w:firstColumn="0" w:lastColumn="0" w:oddVBand="0" w:evenVBand="0" w:oddHBand="0" w:evenHBand="1" w:firstRowFirstColumn="0" w:firstRowLastColumn="0" w:lastRowFirstColumn="0" w:lastRowLastColumn="0"/>
            </w:pPr>
            <w:r>
              <w:t>LOR2  increase by ~   51 TIs</w:t>
            </w:r>
          </w:p>
        </w:tc>
      </w:tr>
      <w:tr w:rsidR="00AE2E05" w14:paraId="33C6AEB6" w14:textId="77777777" w:rsidTr="00AE2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613D0234" w14:textId="77777777" w:rsidR="00AE2E05" w:rsidRDefault="00AE2E05" w:rsidP="002B6ED0">
            <w:pPr>
              <w:pStyle w:val="TableText"/>
            </w:pPr>
            <w:r>
              <w:t xml:space="preserve">Vic </w:t>
            </w:r>
          </w:p>
        </w:tc>
        <w:tc>
          <w:tcPr>
            <w:tcW w:w="1984" w:type="dxa"/>
            <w:hideMark/>
          </w:tcPr>
          <w:p w14:paraId="7C8A7CEC"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72</w:t>
            </w:r>
          </w:p>
        </w:tc>
        <w:tc>
          <w:tcPr>
            <w:tcW w:w="5954" w:type="dxa"/>
            <w:hideMark/>
          </w:tcPr>
          <w:p w14:paraId="67E7697C" w14:textId="77777777" w:rsidR="00AE2E05" w:rsidRDefault="00AE2E05" w:rsidP="002B6ED0">
            <w:pPr>
              <w:pStyle w:val="TableText"/>
              <w:cnfStyle w:val="000000100000" w:firstRow="0" w:lastRow="0" w:firstColumn="0" w:lastColumn="0" w:oddVBand="0" w:evenVBand="0" w:oddHBand="1" w:evenHBand="0" w:firstRowFirstColumn="0" w:firstRowLastColumn="0" w:lastRowFirstColumn="0" w:lastRowLastColumn="0"/>
            </w:pPr>
            <w:r>
              <w:t>LOR2  increase by ~  5 TIs</w:t>
            </w:r>
          </w:p>
        </w:tc>
      </w:tr>
    </w:tbl>
    <w:p w14:paraId="154B7376" w14:textId="77777777" w:rsidR="002D6B40" w:rsidRPr="00B11D62" w:rsidRDefault="002D6B40" w:rsidP="002B6ED0">
      <w:pPr>
        <w:pStyle w:val="TableFootnote"/>
      </w:pPr>
    </w:p>
    <w:p w14:paraId="7286F6C3" w14:textId="6FC51431" w:rsidR="00756EB6" w:rsidRPr="00B11D62" w:rsidRDefault="00756EB6" w:rsidP="002B6ED0">
      <w:pPr>
        <w:pStyle w:val="BodyText"/>
      </w:pPr>
      <w:r w:rsidRPr="00B11D62">
        <w:t>It should be noted that a declaration of a forecast LOR2 condition does not necessarily mean immediate intervention by AEMO, particularly for longer forecasting horizons. Once such a declaration is made</w:t>
      </w:r>
      <w:r w:rsidR="007322FC">
        <w:t>, where time allows</w:t>
      </w:r>
      <w:r w:rsidRPr="00B11D62">
        <w:t xml:space="preserve"> AEMO will first seek a market response before considering intervention.  </w:t>
      </w:r>
    </w:p>
    <w:p w14:paraId="21F6B2F2" w14:textId="23C34845" w:rsidR="00756EB6" w:rsidRDefault="00756EB6" w:rsidP="002B6ED0">
      <w:pPr>
        <w:pStyle w:val="BodyText"/>
      </w:pPr>
      <w:r w:rsidRPr="00B11D62">
        <w:t>The adjustment of the chosen confidence</w:t>
      </w:r>
      <w:r w:rsidR="008336A7">
        <w:t xml:space="preserve"> </w:t>
      </w:r>
      <w:r w:rsidR="00270553">
        <w:t xml:space="preserve">levels </w:t>
      </w:r>
      <w:r w:rsidR="00270553" w:rsidRPr="00270553">
        <w:t>to</w:t>
      </w:r>
      <w:r w:rsidRPr="00B11D62">
        <w:t xml:space="preserve"> ensure monotonic variation was included to reduce r</w:t>
      </w:r>
      <w:r w:rsidR="00270553" w:rsidRPr="00270553">
        <w:t>isk</w:t>
      </w:r>
      <w:r w:rsidRPr="00B11D62">
        <w:t xml:space="preserve"> of fluctuations of LOR levels as forecasting horizon reduces. </w:t>
      </w:r>
    </w:p>
    <w:p w14:paraId="065FE8F1" w14:textId="7D0937AC" w:rsidR="005A4C61" w:rsidRPr="00B11D62" w:rsidRDefault="005A4C61" w:rsidP="002B6ED0">
      <w:pPr>
        <w:pStyle w:val="BodyText"/>
      </w:pPr>
      <w:r>
        <w:t>The adjustment to achieve consistent confidence levels for all regions</w:t>
      </w:r>
      <w:r w:rsidR="00A8458A">
        <w:t>,</w:t>
      </w:r>
      <w:r>
        <w:t xml:space="preserve"> </w:t>
      </w:r>
      <w:r w:rsidR="00A8458A">
        <w:t>subject to substantially meeting the other criteria,</w:t>
      </w:r>
      <w:r>
        <w:t xml:space="preserve"> was included on the basis that the tolerance for risk should be consistent across the entire NEM. </w:t>
      </w:r>
    </w:p>
    <w:p w14:paraId="01BEF8C0" w14:textId="5B4F7737" w:rsidR="009A4EFE" w:rsidRPr="000C6D45" w:rsidRDefault="00A8458A" w:rsidP="000C6D45">
      <w:pPr>
        <w:pStyle w:val="BodyText"/>
      </w:pPr>
      <w:r w:rsidRPr="000C6D45">
        <w:t>For forecasting</w:t>
      </w:r>
      <w:r w:rsidR="009A4EFE" w:rsidRPr="000C6D45">
        <w:t xml:space="preserve"> horizons</w:t>
      </w:r>
      <w:r w:rsidR="005724F9">
        <w:t xml:space="preserve"> other than those specifically analysed,</w:t>
      </w:r>
      <w:r w:rsidR="009A4EFE" w:rsidRPr="000C6D45">
        <w:t xml:space="preserve"> the appropriate confidence level was chosen by extrapolating between the </w:t>
      </w:r>
      <w:r w:rsidR="005724F9">
        <w:t xml:space="preserve">confidence levels chosen </w:t>
      </w:r>
      <w:r>
        <w:t>for the specific forecasting horizon studied in</w:t>
      </w:r>
      <w:r w:rsidR="005724F9">
        <w:t xml:space="preserve"> this analysis.</w:t>
      </w:r>
      <w:r w:rsidR="009A4EFE" w:rsidRPr="000C6D45">
        <w:t xml:space="preserve"> </w:t>
      </w:r>
    </w:p>
    <w:p w14:paraId="47D8E168" w14:textId="24E1DA06" w:rsidR="00594867" w:rsidRPr="000C6D45" w:rsidRDefault="009A4EFE">
      <w:pPr>
        <w:pStyle w:val="BodyText"/>
      </w:pPr>
      <w:r w:rsidRPr="000C6D45">
        <w:t>The final selection for each forecasting horizon up to 72</w:t>
      </w:r>
      <w:r w:rsidR="005D1D4D">
        <w:t xml:space="preserve"> </w:t>
      </w:r>
      <w:r w:rsidRPr="000C6D45">
        <w:t>hours ahe</w:t>
      </w:r>
      <w:r w:rsidR="00BA3C28" w:rsidRPr="000C6D45">
        <w:t xml:space="preserve">ad is recorded in the Guidelines. </w:t>
      </w:r>
    </w:p>
    <w:p w14:paraId="2C8966DC" w14:textId="4D09475E" w:rsidR="00F434B4" w:rsidRDefault="00F434B4" w:rsidP="00842677">
      <w:pPr>
        <w:pStyle w:val="Heading2"/>
      </w:pPr>
      <w:bookmarkStart w:id="26" w:name="_Toc501453667"/>
      <w:r>
        <w:t>Expected impact of new approach</w:t>
      </w:r>
      <w:bookmarkEnd w:id="26"/>
      <w:r>
        <w:t xml:space="preserve"> </w:t>
      </w:r>
    </w:p>
    <w:p w14:paraId="4600E917" w14:textId="4D39B827" w:rsidR="00594867" w:rsidRDefault="00594867" w:rsidP="00B11D62">
      <w:pPr>
        <w:pStyle w:val="ListBullet"/>
        <w:numPr>
          <w:ilvl w:val="0"/>
          <w:numId w:val="0"/>
        </w:numPr>
        <w:ind w:left="142"/>
      </w:pPr>
      <w:r>
        <w:t>The following table provides indications of the likely FUM values for a range of scenarios.</w:t>
      </w:r>
    </w:p>
    <w:p w14:paraId="2074FF27" w14:textId="5229D901" w:rsidR="0044697E" w:rsidRPr="001A15BA" w:rsidRDefault="0044697E" w:rsidP="0044697E">
      <w:pPr>
        <w:pStyle w:val="CaptionTable"/>
      </w:pPr>
      <w:bookmarkStart w:id="27" w:name="_Toc501111519"/>
      <w:r>
        <w:t>Indicative values of FUM for specific scenarios</w:t>
      </w:r>
      <w:bookmarkEnd w:id="27"/>
      <w:r>
        <w:t xml:space="preserve"> </w:t>
      </w:r>
    </w:p>
    <w:tbl>
      <w:tblPr>
        <w:tblStyle w:val="AEMOTable"/>
        <w:tblW w:w="0" w:type="auto"/>
        <w:tblLook w:val="04A0" w:firstRow="1" w:lastRow="0" w:firstColumn="1" w:lastColumn="0" w:noHBand="0" w:noVBand="1"/>
      </w:tblPr>
      <w:tblGrid>
        <w:gridCol w:w="1361"/>
        <w:gridCol w:w="2462"/>
        <w:gridCol w:w="1158"/>
        <w:gridCol w:w="2141"/>
      </w:tblGrid>
      <w:tr w:rsidR="0044697E" w14:paraId="6591741D" w14:textId="77777777" w:rsidTr="003C6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A97EB69" w14:textId="77777777" w:rsidR="0044697E" w:rsidRDefault="0044697E" w:rsidP="0046618F">
            <w:pPr>
              <w:pStyle w:val="TableTitle"/>
            </w:pPr>
            <w:r w:rsidRPr="003C680F">
              <w:t>Region</w:t>
            </w:r>
          </w:p>
        </w:tc>
        <w:tc>
          <w:tcPr>
            <w:tcW w:w="2462" w:type="dxa"/>
          </w:tcPr>
          <w:p w14:paraId="112F0253" w14:textId="77777777" w:rsidR="0044697E" w:rsidRDefault="0044697E" w:rsidP="0046618F">
            <w:pPr>
              <w:pStyle w:val="TableTitle"/>
              <w:cnfStyle w:val="100000000000" w:firstRow="1" w:lastRow="0" w:firstColumn="0" w:lastColumn="0" w:oddVBand="0" w:evenVBand="0" w:oddHBand="0" w:evenHBand="0" w:firstRowFirstColumn="0" w:firstRowLastColumn="0" w:lastRowFirstColumn="0" w:lastRowLastColumn="0"/>
            </w:pPr>
            <w:r>
              <w:t>Scenario</w:t>
            </w:r>
          </w:p>
        </w:tc>
        <w:tc>
          <w:tcPr>
            <w:tcW w:w="1158" w:type="dxa"/>
          </w:tcPr>
          <w:p w14:paraId="5378E233" w14:textId="77777777" w:rsidR="0044697E" w:rsidRDefault="0044697E" w:rsidP="0046618F">
            <w:pPr>
              <w:pStyle w:val="TableTitle"/>
              <w:cnfStyle w:val="100000000000" w:firstRow="1" w:lastRow="0" w:firstColumn="0" w:lastColumn="0" w:oddVBand="0" w:evenVBand="0" w:oddHBand="0" w:evenHBand="0" w:firstRowFirstColumn="0" w:firstRowLastColumn="0" w:lastRowFirstColumn="0" w:lastRowLastColumn="0"/>
            </w:pPr>
            <w:r>
              <w:t>Hours-ahead</w:t>
            </w:r>
          </w:p>
        </w:tc>
        <w:tc>
          <w:tcPr>
            <w:tcW w:w="2141" w:type="dxa"/>
          </w:tcPr>
          <w:p w14:paraId="6240A89D" w14:textId="27DAB9C0" w:rsidR="0044697E" w:rsidRDefault="0044697E" w:rsidP="0046618F">
            <w:pPr>
              <w:pStyle w:val="TableTitle"/>
              <w:cnfStyle w:val="100000000000" w:firstRow="1" w:lastRow="0" w:firstColumn="0" w:lastColumn="0" w:oddVBand="0" w:evenVBand="0" w:oddHBand="0" w:evenHBand="0" w:firstRowFirstColumn="0" w:firstRowLastColumn="0" w:lastRowFirstColumn="0" w:lastRowLastColumn="0"/>
            </w:pPr>
            <w:r>
              <w:t>Approximate FUM value (MW)</w:t>
            </w:r>
          </w:p>
        </w:tc>
      </w:tr>
      <w:tr w:rsidR="0044697E" w14:paraId="56C4DD4A" w14:textId="77777777" w:rsidTr="003C680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61" w:type="dxa"/>
          </w:tcPr>
          <w:p w14:paraId="182057A7" w14:textId="1EDC3B02" w:rsidR="0044697E" w:rsidRDefault="0044697E" w:rsidP="0046618F">
            <w:pPr>
              <w:pStyle w:val="TableText"/>
            </w:pPr>
            <w:r>
              <w:t>South Australia</w:t>
            </w:r>
          </w:p>
        </w:tc>
        <w:tc>
          <w:tcPr>
            <w:tcW w:w="2462" w:type="dxa"/>
          </w:tcPr>
          <w:p w14:paraId="2BCF505A"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Hot temperatures (&gt;35 degrees C), high wind (&gt;1000MW)</w:t>
            </w:r>
          </w:p>
        </w:tc>
        <w:tc>
          <w:tcPr>
            <w:tcW w:w="1158" w:type="dxa"/>
          </w:tcPr>
          <w:p w14:paraId="4B4A4664"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4229C059" w14:textId="3354A6FC"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900</w:t>
            </w:r>
          </w:p>
        </w:tc>
      </w:tr>
      <w:tr w:rsidR="0044697E" w14:paraId="56A1159E" w14:textId="77777777" w:rsidTr="003C680F">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1" w:type="dxa"/>
          </w:tcPr>
          <w:p w14:paraId="596A3A3F" w14:textId="77777777" w:rsidR="0044697E" w:rsidRDefault="0044697E" w:rsidP="0046618F">
            <w:pPr>
              <w:pStyle w:val="TableText"/>
            </w:pPr>
          </w:p>
        </w:tc>
        <w:tc>
          <w:tcPr>
            <w:tcW w:w="2462" w:type="dxa"/>
          </w:tcPr>
          <w:p w14:paraId="5B495EF9"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28CD595D"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774CC150" w14:textId="3B662B48"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496</w:t>
            </w:r>
          </w:p>
        </w:tc>
      </w:tr>
      <w:tr w:rsidR="0044697E" w14:paraId="590C0A83" w14:textId="77777777" w:rsidTr="003C680F">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361" w:type="dxa"/>
          </w:tcPr>
          <w:p w14:paraId="7CC73C77" w14:textId="77777777" w:rsidR="0044697E" w:rsidRDefault="0044697E" w:rsidP="0046618F">
            <w:pPr>
              <w:pStyle w:val="TableText"/>
            </w:pPr>
          </w:p>
        </w:tc>
        <w:tc>
          <w:tcPr>
            <w:tcW w:w="2462" w:type="dxa"/>
          </w:tcPr>
          <w:p w14:paraId="02679AEB"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Hot temperatures (&gt;35 degrees C), low wind (&lt;300MW)</w:t>
            </w:r>
          </w:p>
        </w:tc>
        <w:tc>
          <w:tcPr>
            <w:tcW w:w="1158" w:type="dxa"/>
          </w:tcPr>
          <w:p w14:paraId="5BAEDC3F"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7BDFF021" w14:textId="4DFE1663"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434</w:t>
            </w:r>
          </w:p>
        </w:tc>
      </w:tr>
      <w:tr w:rsidR="0044697E" w14:paraId="64084121"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3DFC2C6A" w14:textId="77777777" w:rsidR="0044697E" w:rsidRDefault="0044697E" w:rsidP="0046618F">
            <w:pPr>
              <w:pStyle w:val="TableText"/>
            </w:pPr>
          </w:p>
        </w:tc>
        <w:tc>
          <w:tcPr>
            <w:tcW w:w="2462" w:type="dxa"/>
          </w:tcPr>
          <w:p w14:paraId="0E40BCC5"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6496985F"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0D67D94E" w14:textId="474B7A24"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383</w:t>
            </w:r>
          </w:p>
        </w:tc>
      </w:tr>
      <w:tr w:rsidR="0044697E" w14:paraId="7D19B900" w14:textId="77777777" w:rsidTr="003C680F">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361" w:type="dxa"/>
          </w:tcPr>
          <w:p w14:paraId="2BB77540" w14:textId="0245695C" w:rsidR="0044697E" w:rsidRDefault="0044697E" w:rsidP="0046618F">
            <w:pPr>
              <w:pStyle w:val="TableText"/>
            </w:pPr>
            <w:r>
              <w:t>Victoria</w:t>
            </w:r>
          </w:p>
        </w:tc>
        <w:tc>
          <w:tcPr>
            <w:tcW w:w="2462" w:type="dxa"/>
          </w:tcPr>
          <w:p w14:paraId="3819D145"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Hot temperatures (&gt;31 degrees C), high wind (&gt;800MW)</w:t>
            </w:r>
          </w:p>
        </w:tc>
        <w:tc>
          <w:tcPr>
            <w:tcW w:w="1158" w:type="dxa"/>
          </w:tcPr>
          <w:p w14:paraId="517E26AC"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2C34B53D" w14:textId="7CF1B42E" w:rsidR="0044697E" w:rsidRPr="00DE35BE" w:rsidRDefault="0044697E" w:rsidP="0046618F">
            <w:pPr>
              <w:pStyle w:val="TableText"/>
              <w:cnfStyle w:val="000000100000" w:firstRow="0" w:lastRow="0" w:firstColumn="0" w:lastColumn="0" w:oddVBand="0" w:evenVBand="0" w:oddHBand="1" w:evenHBand="0" w:firstRowFirstColumn="0" w:firstRowLastColumn="0" w:lastRowFirstColumn="0" w:lastRowLastColumn="0"/>
              <w:rPr>
                <w:highlight w:val="red"/>
              </w:rPr>
            </w:pPr>
            <w:r>
              <w:t>1</w:t>
            </w:r>
            <w:r w:rsidR="002C2B44">
              <w:t>,</w:t>
            </w:r>
            <w:r>
              <w:t>750</w:t>
            </w:r>
          </w:p>
        </w:tc>
      </w:tr>
      <w:tr w:rsidR="0044697E" w14:paraId="204C51A1"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EDB3F04" w14:textId="77777777" w:rsidR="0044697E" w:rsidRDefault="0044697E" w:rsidP="0046618F">
            <w:pPr>
              <w:pStyle w:val="TableText"/>
            </w:pPr>
          </w:p>
        </w:tc>
        <w:tc>
          <w:tcPr>
            <w:tcW w:w="2462" w:type="dxa"/>
          </w:tcPr>
          <w:p w14:paraId="1C0D6CC6"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4A12A61F"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4F197FE5" w14:textId="5F9A4936" w:rsidR="0044697E" w:rsidRPr="00DE35B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1</w:t>
            </w:r>
            <w:r w:rsidR="002C2B44">
              <w:t>,</w:t>
            </w:r>
            <w:r>
              <w:t>192</w:t>
            </w:r>
          </w:p>
        </w:tc>
      </w:tr>
      <w:tr w:rsidR="0044697E" w14:paraId="50B92E97"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AE4545F" w14:textId="77777777" w:rsidR="0044697E" w:rsidRDefault="0044697E" w:rsidP="0046618F">
            <w:pPr>
              <w:pStyle w:val="TableText"/>
            </w:pPr>
          </w:p>
        </w:tc>
        <w:tc>
          <w:tcPr>
            <w:tcW w:w="2462" w:type="dxa"/>
          </w:tcPr>
          <w:p w14:paraId="148593E9"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Hot temperatures (&gt;31 degrees), low wind (&lt;200MW)</w:t>
            </w:r>
          </w:p>
        </w:tc>
        <w:tc>
          <w:tcPr>
            <w:tcW w:w="1158" w:type="dxa"/>
          </w:tcPr>
          <w:p w14:paraId="63880B7D"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71EA9DEB" w14:textId="3CF78A3D" w:rsidR="0044697E" w:rsidRPr="00DE35BE" w:rsidRDefault="0044697E" w:rsidP="0046618F">
            <w:pPr>
              <w:pStyle w:val="TableText"/>
              <w:cnfStyle w:val="000000100000" w:firstRow="0" w:lastRow="0" w:firstColumn="0" w:lastColumn="0" w:oddVBand="0" w:evenVBand="0" w:oddHBand="1" w:evenHBand="0" w:firstRowFirstColumn="0" w:firstRowLastColumn="0" w:lastRowFirstColumn="0" w:lastRowLastColumn="0"/>
              <w:rPr>
                <w:highlight w:val="red"/>
              </w:rPr>
            </w:pPr>
            <w:r>
              <w:t>1</w:t>
            </w:r>
            <w:r w:rsidR="002C2B44">
              <w:t>,</w:t>
            </w:r>
            <w:r>
              <w:t>750</w:t>
            </w:r>
          </w:p>
        </w:tc>
      </w:tr>
      <w:tr w:rsidR="0044697E" w14:paraId="2E4B84D9"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6B3D382F" w14:textId="77777777" w:rsidR="0044697E" w:rsidRDefault="0044697E" w:rsidP="0046618F">
            <w:pPr>
              <w:pStyle w:val="TableText"/>
            </w:pPr>
          </w:p>
        </w:tc>
        <w:tc>
          <w:tcPr>
            <w:tcW w:w="2462" w:type="dxa"/>
          </w:tcPr>
          <w:p w14:paraId="26A16168"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18228FDA"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5E81A2B3" w14:textId="7967C516" w:rsidR="0044697E" w:rsidRPr="00DE35B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953</w:t>
            </w:r>
          </w:p>
        </w:tc>
      </w:tr>
      <w:tr w:rsidR="0044697E" w14:paraId="520B4C71"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2343347" w14:textId="77777777" w:rsidR="0044697E" w:rsidRDefault="0044697E" w:rsidP="0046618F">
            <w:pPr>
              <w:pStyle w:val="TableText"/>
            </w:pPr>
          </w:p>
        </w:tc>
        <w:tc>
          <w:tcPr>
            <w:tcW w:w="2462" w:type="dxa"/>
          </w:tcPr>
          <w:p w14:paraId="479FF858"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Cold temperatures (&lt;13 degrees C), high wind (&gt;800MW)</w:t>
            </w:r>
          </w:p>
        </w:tc>
        <w:tc>
          <w:tcPr>
            <w:tcW w:w="1158" w:type="dxa"/>
          </w:tcPr>
          <w:p w14:paraId="5F0721BB"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0C8E8184" w14:textId="25C5DB78"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845</w:t>
            </w:r>
          </w:p>
        </w:tc>
      </w:tr>
      <w:tr w:rsidR="0044697E" w14:paraId="12F5F247"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16805A54" w14:textId="77777777" w:rsidR="0044697E" w:rsidRDefault="0044697E" w:rsidP="0046618F">
            <w:pPr>
              <w:pStyle w:val="TableText"/>
            </w:pPr>
          </w:p>
        </w:tc>
        <w:tc>
          <w:tcPr>
            <w:tcW w:w="2462" w:type="dxa"/>
          </w:tcPr>
          <w:p w14:paraId="551602BC"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4873C54E"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6FA7C9CF" w14:textId="2CAC8054" w:rsidR="0044697E" w:rsidRPr="0092483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993</w:t>
            </w:r>
          </w:p>
        </w:tc>
      </w:tr>
      <w:tr w:rsidR="0044697E" w14:paraId="05332287"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005C4CD0" w14:textId="77777777" w:rsidR="0044697E" w:rsidRDefault="0044697E" w:rsidP="0046618F">
            <w:pPr>
              <w:pStyle w:val="TableText"/>
            </w:pPr>
          </w:p>
        </w:tc>
        <w:tc>
          <w:tcPr>
            <w:tcW w:w="2462" w:type="dxa"/>
          </w:tcPr>
          <w:p w14:paraId="6FFB71D2"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Cold temperatures (&lt;13 degrees C), low wind (&lt;200MW)</w:t>
            </w:r>
          </w:p>
        </w:tc>
        <w:tc>
          <w:tcPr>
            <w:tcW w:w="1158" w:type="dxa"/>
          </w:tcPr>
          <w:p w14:paraId="1C4A7037"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4BF4B0E5" w14:textId="4C4B68EA"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667</w:t>
            </w:r>
          </w:p>
        </w:tc>
      </w:tr>
      <w:tr w:rsidR="0044697E" w14:paraId="330A3B79"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15C046A6" w14:textId="77777777" w:rsidR="0044697E" w:rsidRDefault="0044697E" w:rsidP="0046618F">
            <w:pPr>
              <w:pStyle w:val="TableText"/>
            </w:pPr>
          </w:p>
        </w:tc>
        <w:tc>
          <w:tcPr>
            <w:tcW w:w="2462" w:type="dxa"/>
          </w:tcPr>
          <w:p w14:paraId="0C630B3A"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4EB25708"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64E7FE0E" w14:textId="3BCB549E" w:rsidR="0044697E" w:rsidRPr="0023703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795</w:t>
            </w:r>
          </w:p>
        </w:tc>
      </w:tr>
      <w:tr w:rsidR="0044697E" w14:paraId="3DF5ACA4" w14:textId="77777777" w:rsidTr="003C680F">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361" w:type="dxa"/>
          </w:tcPr>
          <w:p w14:paraId="2A986960" w14:textId="77777777" w:rsidR="0044697E" w:rsidRDefault="0044697E" w:rsidP="0046618F">
            <w:pPr>
              <w:pStyle w:val="TableText"/>
            </w:pPr>
            <w:r>
              <w:t>NSW</w:t>
            </w:r>
          </w:p>
        </w:tc>
        <w:tc>
          <w:tcPr>
            <w:tcW w:w="2462" w:type="dxa"/>
          </w:tcPr>
          <w:p w14:paraId="340F483D"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Hot temperatures (&gt;31 degrees), high wind (&gt;500MW)</w:t>
            </w:r>
          </w:p>
        </w:tc>
        <w:tc>
          <w:tcPr>
            <w:tcW w:w="1158" w:type="dxa"/>
          </w:tcPr>
          <w:p w14:paraId="4953271F"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1B4B973D" w14:textId="22AA4386"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rPr>
                <w:highlight w:val="red"/>
              </w:rPr>
            </w:pPr>
            <w:r>
              <w:t>2500</w:t>
            </w:r>
          </w:p>
        </w:tc>
      </w:tr>
      <w:tr w:rsidR="0044697E" w14:paraId="1628DDF6"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14ECF33C" w14:textId="77777777" w:rsidR="0044697E" w:rsidRDefault="0044697E" w:rsidP="0046618F">
            <w:pPr>
              <w:pStyle w:val="TableText"/>
            </w:pPr>
          </w:p>
        </w:tc>
        <w:tc>
          <w:tcPr>
            <w:tcW w:w="2462" w:type="dxa"/>
          </w:tcPr>
          <w:p w14:paraId="613C0E99"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58090090"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56D72164" w14:textId="7F7F1608" w:rsidR="0044697E" w:rsidRPr="0023703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1</w:t>
            </w:r>
            <w:r w:rsidR="002C2B44">
              <w:t>,</w:t>
            </w:r>
            <w:r>
              <w:t>368</w:t>
            </w:r>
          </w:p>
        </w:tc>
      </w:tr>
      <w:tr w:rsidR="0044697E" w14:paraId="3665ADB0"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38D7D7AC" w14:textId="77777777" w:rsidR="0044697E" w:rsidRDefault="0044697E" w:rsidP="0046618F">
            <w:pPr>
              <w:pStyle w:val="TableText"/>
            </w:pPr>
          </w:p>
        </w:tc>
        <w:tc>
          <w:tcPr>
            <w:tcW w:w="2462" w:type="dxa"/>
          </w:tcPr>
          <w:p w14:paraId="4B79A8E4"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Hot temperatures (&gt;31 degrees C), low wind (&lt;100MW)</w:t>
            </w:r>
          </w:p>
        </w:tc>
        <w:tc>
          <w:tcPr>
            <w:tcW w:w="1158" w:type="dxa"/>
          </w:tcPr>
          <w:p w14:paraId="155110A4"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07FAAA58" w14:textId="497D22DF"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rPr>
                <w:highlight w:val="red"/>
              </w:rPr>
            </w:pPr>
            <w:r>
              <w:t>2</w:t>
            </w:r>
            <w:r w:rsidR="002C2B44">
              <w:t>,</w:t>
            </w:r>
            <w:r>
              <w:t>500</w:t>
            </w:r>
          </w:p>
        </w:tc>
      </w:tr>
      <w:tr w:rsidR="0044697E" w14:paraId="44A37150"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75C509DB" w14:textId="77777777" w:rsidR="0044697E" w:rsidRDefault="0044697E" w:rsidP="0046618F">
            <w:pPr>
              <w:pStyle w:val="TableText"/>
            </w:pPr>
          </w:p>
        </w:tc>
        <w:tc>
          <w:tcPr>
            <w:tcW w:w="2462" w:type="dxa"/>
          </w:tcPr>
          <w:p w14:paraId="23181D5B"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6F2AFD34"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4EA9014B" w14:textId="60AFA97D" w:rsidR="0044697E" w:rsidRPr="0023703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1</w:t>
            </w:r>
            <w:r w:rsidR="002C2B44">
              <w:t>,</w:t>
            </w:r>
            <w:r>
              <w:t>235</w:t>
            </w:r>
          </w:p>
        </w:tc>
      </w:tr>
      <w:tr w:rsidR="0044697E" w14:paraId="3D42B4D4"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4D3EE673" w14:textId="77777777" w:rsidR="0044697E" w:rsidRDefault="0044697E" w:rsidP="0046618F">
            <w:pPr>
              <w:pStyle w:val="TableText"/>
            </w:pPr>
          </w:p>
        </w:tc>
        <w:tc>
          <w:tcPr>
            <w:tcW w:w="2462" w:type="dxa"/>
          </w:tcPr>
          <w:p w14:paraId="011BA232"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Cold temperatures (&lt;17 degrees), high wind (&gt;500MW)</w:t>
            </w:r>
          </w:p>
        </w:tc>
        <w:tc>
          <w:tcPr>
            <w:tcW w:w="1158" w:type="dxa"/>
          </w:tcPr>
          <w:p w14:paraId="1C2A1888"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781AF555" w14:textId="4E061081"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1</w:t>
            </w:r>
            <w:r w:rsidR="002C2B44">
              <w:t>,</w:t>
            </w:r>
            <w:r>
              <w:t>011</w:t>
            </w:r>
          </w:p>
        </w:tc>
      </w:tr>
      <w:tr w:rsidR="0044697E" w14:paraId="226216AD"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431FFD4F" w14:textId="77777777" w:rsidR="0044697E" w:rsidRDefault="0044697E" w:rsidP="0046618F">
            <w:pPr>
              <w:pStyle w:val="TableText"/>
            </w:pPr>
          </w:p>
        </w:tc>
        <w:tc>
          <w:tcPr>
            <w:tcW w:w="2462" w:type="dxa"/>
          </w:tcPr>
          <w:p w14:paraId="3D45A6CD"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341CDDEA" w14:textId="77777777" w:rsidR="0044697E" w:rsidRPr="00C07FB5" w:rsidRDefault="0044697E" w:rsidP="0046618F">
            <w:pPr>
              <w:pStyle w:val="TableText"/>
              <w:cnfStyle w:val="000000010000" w:firstRow="0" w:lastRow="0" w:firstColumn="0" w:lastColumn="0" w:oddVBand="0" w:evenVBand="0" w:oddHBand="0" w:evenHBand="1" w:firstRowFirstColumn="0" w:firstRowLastColumn="0" w:lastRowFirstColumn="0" w:lastRowLastColumn="0"/>
            </w:pPr>
            <w:r w:rsidRPr="00C07FB5">
              <w:t>24</w:t>
            </w:r>
          </w:p>
        </w:tc>
        <w:tc>
          <w:tcPr>
            <w:tcW w:w="2141" w:type="dxa"/>
          </w:tcPr>
          <w:p w14:paraId="34FE7F30" w14:textId="59B3F483" w:rsidR="0044697E" w:rsidRPr="0023703E" w:rsidRDefault="0044697E" w:rsidP="0046618F">
            <w:pPr>
              <w:pStyle w:val="TableText"/>
              <w:cnfStyle w:val="000000010000" w:firstRow="0" w:lastRow="0" w:firstColumn="0" w:lastColumn="0" w:oddVBand="0" w:evenVBand="0" w:oddHBand="0" w:evenHBand="1" w:firstRowFirstColumn="0" w:firstRowLastColumn="0" w:lastRowFirstColumn="0" w:lastRowLastColumn="0"/>
              <w:rPr>
                <w:highlight w:val="red"/>
              </w:rPr>
            </w:pPr>
            <w:r>
              <w:t>1</w:t>
            </w:r>
            <w:r w:rsidR="002C2B44">
              <w:t>,</w:t>
            </w:r>
            <w:r>
              <w:t>574</w:t>
            </w:r>
          </w:p>
        </w:tc>
      </w:tr>
      <w:tr w:rsidR="0044697E" w14:paraId="795DCC86"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80CB434" w14:textId="77777777" w:rsidR="0044697E" w:rsidRDefault="0044697E" w:rsidP="0046618F">
            <w:pPr>
              <w:pStyle w:val="TableText"/>
            </w:pPr>
          </w:p>
        </w:tc>
        <w:tc>
          <w:tcPr>
            <w:tcW w:w="2462" w:type="dxa"/>
          </w:tcPr>
          <w:p w14:paraId="0A6A0211"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Cold temperatures (&lt;17 degrees), low wind (&lt;100MW)</w:t>
            </w:r>
          </w:p>
        </w:tc>
        <w:tc>
          <w:tcPr>
            <w:tcW w:w="1158" w:type="dxa"/>
          </w:tcPr>
          <w:p w14:paraId="1FDDEB1E" w14:textId="77777777" w:rsidR="0044697E" w:rsidRPr="00C07FB5" w:rsidRDefault="0044697E" w:rsidP="0046618F">
            <w:pPr>
              <w:pStyle w:val="TableText"/>
              <w:cnfStyle w:val="000000100000" w:firstRow="0" w:lastRow="0" w:firstColumn="0" w:lastColumn="0" w:oddVBand="0" w:evenVBand="0" w:oddHBand="1" w:evenHBand="0" w:firstRowFirstColumn="0" w:firstRowLastColumn="0" w:lastRowFirstColumn="0" w:lastRowLastColumn="0"/>
            </w:pPr>
            <w:r w:rsidRPr="00C07FB5">
              <w:t>6</w:t>
            </w:r>
          </w:p>
        </w:tc>
        <w:tc>
          <w:tcPr>
            <w:tcW w:w="2141" w:type="dxa"/>
          </w:tcPr>
          <w:p w14:paraId="31AA9D35" w14:textId="0E884E66" w:rsidR="0044697E" w:rsidRPr="0023703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939</w:t>
            </w:r>
          </w:p>
        </w:tc>
      </w:tr>
      <w:tr w:rsidR="0044697E" w14:paraId="0A39465D"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1E7C1B74" w14:textId="77777777" w:rsidR="0044697E" w:rsidRDefault="0044697E" w:rsidP="0046618F">
            <w:pPr>
              <w:pStyle w:val="TableText"/>
            </w:pPr>
          </w:p>
        </w:tc>
        <w:tc>
          <w:tcPr>
            <w:tcW w:w="2462" w:type="dxa"/>
          </w:tcPr>
          <w:p w14:paraId="1A3604D7"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25645B76"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543ED9E0" w14:textId="67B822A6" w:rsidR="0044697E" w:rsidRPr="0023703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1</w:t>
            </w:r>
            <w:r w:rsidR="002C2B44">
              <w:t>,</w:t>
            </w:r>
            <w:r>
              <w:t>132</w:t>
            </w:r>
          </w:p>
        </w:tc>
      </w:tr>
      <w:tr w:rsidR="0044697E" w14:paraId="295C5E37"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24D050C" w14:textId="669BE20B" w:rsidR="0044697E" w:rsidRDefault="0044697E" w:rsidP="0046618F">
            <w:pPr>
              <w:pStyle w:val="TableText"/>
            </w:pPr>
            <w:r>
              <w:t>Tasmania</w:t>
            </w:r>
          </w:p>
        </w:tc>
        <w:tc>
          <w:tcPr>
            <w:tcW w:w="2462" w:type="dxa"/>
          </w:tcPr>
          <w:p w14:paraId="6FC77E17"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Cold temperatures (&lt;12 degrees C), high wind (&gt;250MW)</w:t>
            </w:r>
          </w:p>
        </w:tc>
        <w:tc>
          <w:tcPr>
            <w:tcW w:w="1158" w:type="dxa"/>
          </w:tcPr>
          <w:p w14:paraId="533D254D"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2CADF9FE" w14:textId="086156C8"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400</w:t>
            </w:r>
          </w:p>
        </w:tc>
      </w:tr>
      <w:tr w:rsidR="0044697E" w14:paraId="0437E03A"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7972EC2" w14:textId="77777777" w:rsidR="0044697E" w:rsidRDefault="0044697E" w:rsidP="0046618F">
            <w:pPr>
              <w:pStyle w:val="TableText"/>
            </w:pPr>
          </w:p>
        </w:tc>
        <w:tc>
          <w:tcPr>
            <w:tcW w:w="2462" w:type="dxa"/>
          </w:tcPr>
          <w:p w14:paraId="5DE9ACF4"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689CFCBB"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1BA42BFA" w14:textId="0F0C3DE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250</w:t>
            </w:r>
          </w:p>
        </w:tc>
      </w:tr>
      <w:tr w:rsidR="0044697E" w14:paraId="2F6F2FE0"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6EA1D2B4" w14:textId="77777777" w:rsidR="0044697E" w:rsidRDefault="0044697E" w:rsidP="0046618F">
            <w:pPr>
              <w:pStyle w:val="TableText"/>
            </w:pPr>
          </w:p>
        </w:tc>
        <w:tc>
          <w:tcPr>
            <w:tcW w:w="2462" w:type="dxa"/>
          </w:tcPr>
          <w:p w14:paraId="511D4817"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Cold temperatures (&lt;12 degrees C), low wind (&lt;100MW)</w:t>
            </w:r>
          </w:p>
        </w:tc>
        <w:tc>
          <w:tcPr>
            <w:tcW w:w="1158" w:type="dxa"/>
          </w:tcPr>
          <w:p w14:paraId="6B636834"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52FF83C6" w14:textId="3790E5C3"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140</w:t>
            </w:r>
          </w:p>
        </w:tc>
      </w:tr>
      <w:tr w:rsidR="0044697E" w14:paraId="1D114EDF"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78C8242" w14:textId="77777777" w:rsidR="0044697E" w:rsidRDefault="0044697E" w:rsidP="0046618F">
            <w:pPr>
              <w:pStyle w:val="TableText"/>
            </w:pPr>
          </w:p>
        </w:tc>
        <w:tc>
          <w:tcPr>
            <w:tcW w:w="2462" w:type="dxa"/>
          </w:tcPr>
          <w:p w14:paraId="446E0EAB"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4D359727"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111CE887" w14:textId="4670026A"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143</w:t>
            </w:r>
          </w:p>
        </w:tc>
      </w:tr>
      <w:tr w:rsidR="0044697E" w14:paraId="0F3E5D70"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3C0B93F5" w14:textId="32DCC6FE" w:rsidR="0044697E" w:rsidRDefault="0044697E" w:rsidP="0046618F">
            <w:pPr>
              <w:pStyle w:val="TableText"/>
            </w:pPr>
            <w:r>
              <w:t>Queensland</w:t>
            </w:r>
          </w:p>
        </w:tc>
        <w:tc>
          <w:tcPr>
            <w:tcW w:w="2462" w:type="dxa"/>
          </w:tcPr>
          <w:p w14:paraId="2337FAC4"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Hot temperatures (&gt;31 degrees)</w:t>
            </w:r>
          </w:p>
        </w:tc>
        <w:tc>
          <w:tcPr>
            <w:tcW w:w="1158" w:type="dxa"/>
          </w:tcPr>
          <w:p w14:paraId="359C0619"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278E0ABB" w14:textId="49185C50"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859</w:t>
            </w:r>
          </w:p>
        </w:tc>
      </w:tr>
      <w:tr w:rsidR="0044697E" w14:paraId="77F24968"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66933953" w14:textId="77777777" w:rsidR="0044697E" w:rsidRDefault="0044697E" w:rsidP="0046618F">
            <w:pPr>
              <w:pStyle w:val="TableText"/>
            </w:pPr>
          </w:p>
        </w:tc>
        <w:tc>
          <w:tcPr>
            <w:tcW w:w="2462" w:type="dxa"/>
          </w:tcPr>
          <w:p w14:paraId="390B025D"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7666821F"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325EBFD6" w14:textId="235E3304"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920</w:t>
            </w:r>
          </w:p>
        </w:tc>
      </w:tr>
      <w:tr w:rsidR="0044697E" w14:paraId="2BC7D182" w14:textId="77777777" w:rsidTr="003C6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4F724BA" w14:textId="77777777" w:rsidR="0044697E" w:rsidRDefault="0044697E" w:rsidP="0046618F">
            <w:pPr>
              <w:pStyle w:val="TableText"/>
            </w:pPr>
          </w:p>
        </w:tc>
        <w:tc>
          <w:tcPr>
            <w:tcW w:w="2462" w:type="dxa"/>
          </w:tcPr>
          <w:p w14:paraId="3848B67B"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Cold temperatures (&lt;20 degrees)</w:t>
            </w:r>
          </w:p>
        </w:tc>
        <w:tc>
          <w:tcPr>
            <w:tcW w:w="1158" w:type="dxa"/>
          </w:tcPr>
          <w:p w14:paraId="588D6E64" w14:textId="7777777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w:t>
            </w:r>
          </w:p>
        </w:tc>
        <w:tc>
          <w:tcPr>
            <w:tcW w:w="2141" w:type="dxa"/>
          </w:tcPr>
          <w:p w14:paraId="1866689B" w14:textId="42146E87" w:rsidR="0044697E" w:rsidRDefault="0044697E" w:rsidP="0046618F">
            <w:pPr>
              <w:pStyle w:val="TableText"/>
              <w:cnfStyle w:val="000000100000" w:firstRow="0" w:lastRow="0" w:firstColumn="0" w:lastColumn="0" w:oddVBand="0" w:evenVBand="0" w:oddHBand="1" w:evenHBand="0" w:firstRowFirstColumn="0" w:firstRowLastColumn="0" w:lastRowFirstColumn="0" w:lastRowLastColumn="0"/>
            </w:pPr>
            <w:r>
              <w:t>652</w:t>
            </w:r>
          </w:p>
        </w:tc>
      </w:tr>
      <w:tr w:rsidR="0044697E" w14:paraId="3771D206" w14:textId="77777777" w:rsidTr="003C6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BBD41D8" w14:textId="77777777" w:rsidR="0044697E" w:rsidRDefault="0044697E" w:rsidP="0046618F">
            <w:pPr>
              <w:pStyle w:val="TableText"/>
            </w:pPr>
          </w:p>
        </w:tc>
        <w:tc>
          <w:tcPr>
            <w:tcW w:w="2462" w:type="dxa"/>
          </w:tcPr>
          <w:p w14:paraId="1693B83D"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p>
        </w:tc>
        <w:tc>
          <w:tcPr>
            <w:tcW w:w="1158" w:type="dxa"/>
          </w:tcPr>
          <w:p w14:paraId="3C0FBB8D" w14:textId="77777777"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24</w:t>
            </w:r>
          </w:p>
        </w:tc>
        <w:tc>
          <w:tcPr>
            <w:tcW w:w="2141" w:type="dxa"/>
          </w:tcPr>
          <w:p w14:paraId="4A298F78" w14:textId="257FEA2E" w:rsidR="0044697E" w:rsidRDefault="0044697E" w:rsidP="0046618F">
            <w:pPr>
              <w:pStyle w:val="TableText"/>
              <w:cnfStyle w:val="000000010000" w:firstRow="0" w:lastRow="0" w:firstColumn="0" w:lastColumn="0" w:oddVBand="0" w:evenVBand="0" w:oddHBand="0" w:evenHBand="1" w:firstRowFirstColumn="0" w:firstRowLastColumn="0" w:lastRowFirstColumn="0" w:lastRowLastColumn="0"/>
            </w:pPr>
            <w:r>
              <w:t>746</w:t>
            </w:r>
          </w:p>
        </w:tc>
      </w:tr>
    </w:tbl>
    <w:p w14:paraId="0A925EF6" w14:textId="0775EA15" w:rsidR="00594867" w:rsidRDefault="0044697E" w:rsidP="0046618F">
      <w:pPr>
        <w:pStyle w:val="TableFootnote"/>
      </w:pPr>
      <w:r>
        <w:t>Note: 6hr ahead FUM values are based on 98% CI, and 24hr ahead values are based on 95% CI.</w:t>
      </w:r>
    </w:p>
    <w:p w14:paraId="1B8608D0" w14:textId="4BE5F394" w:rsidR="00A16A2A" w:rsidRDefault="00A16A2A" w:rsidP="00842677">
      <w:pPr>
        <w:pStyle w:val="Heading2"/>
      </w:pPr>
      <w:bookmarkStart w:id="28" w:name="_Toc501453668"/>
      <w:r>
        <w:t xml:space="preserve">Error </w:t>
      </w:r>
      <w:r w:rsidR="005D1D4D">
        <w:t>d</w:t>
      </w:r>
      <w:r>
        <w:t>istributions</w:t>
      </w:r>
      <w:bookmarkEnd w:id="28"/>
      <w:r>
        <w:t xml:space="preserve"> </w:t>
      </w:r>
    </w:p>
    <w:p w14:paraId="000CC76B" w14:textId="0C4572BE" w:rsidR="00A16A2A" w:rsidRPr="00A16A2A" w:rsidRDefault="00A16A2A" w:rsidP="000C6D45">
      <w:pPr>
        <w:pStyle w:val="BodyText"/>
      </w:pPr>
      <w:r>
        <w:t>Typical error distributions for demand forecasting, intermittent generation forecasting and availability of scheduled generating units are set out in Appendix C</w:t>
      </w:r>
      <w:r w:rsidR="00C8430D">
        <w:t>.</w:t>
      </w:r>
    </w:p>
    <w:p w14:paraId="446B901A" w14:textId="49F16EE9" w:rsidR="00842677" w:rsidRPr="00B11D62" w:rsidRDefault="00063B4E" w:rsidP="00842677">
      <w:pPr>
        <w:pStyle w:val="Heading2"/>
      </w:pPr>
      <w:bookmarkStart w:id="29" w:name="_Ref500913769"/>
      <w:bookmarkStart w:id="30" w:name="_Toc501453669"/>
      <w:r>
        <w:t xml:space="preserve">Initial </w:t>
      </w:r>
      <w:r w:rsidR="002C2B44">
        <w:t>reasonability lim</w:t>
      </w:r>
      <w:r>
        <w:t xml:space="preserve">its for FUM </w:t>
      </w:r>
      <w:bookmarkEnd w:id="29"/>
      <w:r w:rsidR="002C2B44">
        <w:t>values</w:t>
      </w:r>
      <w:bookmarkEnd w:id="30"/>
      <w:r w:rsidR="002C2B44">
        <w:t xml:space="preserve"> </w:t>
      </w:r>
      <w:r w:rsidR="002C2B44" w:rsidRPr="00B11D62">
        <w:t xml:space="preserve"> </w:t>
      </w:r>
    </w:p>
    <w:p w14:paraId="41286779" w14:textId="5B0A5ABD" w:rsidR="00422549" w:rsidRDefault="00063B4E" w:rsidP="000C6D45">
      <w:pPr>
        <w:pStyle w:val="BodyText"/>
      </w:pPr>
      <w:r>
        <w:t xml:space="preserve">The initial reasonability limits for FUM values have been chosen as follows based upon examination of the distribution of FUM values from the initial training of the BBN using data over </w:t>
      </w:r>
      <w:r w:rsidR="00F34755">
        <w:t>a six year period ending 1 August</w:t>
      </w:r>
      <w:r>
        <w:t xml:space="preserve"> 2017. </w:t>
      </w:r>
    </w:p>
    <w:p w14:paraId="010ACD84" w14:textId="3F6ED2C1" w:rsidR="00063B4E" w:rsidRDefault="002C2B44" w:rsidP="0046618F">
      <w:pPr>
        <w:pStyle w:val="CaptionTable"/>
      </w:pPr>
      <w:bookmarkStart w:id="31" w:name="_Toc501111520"/>
      <w:r>
        <w:t xml:space="preserve"> </w:t>
      </w:r>
      <w:bookmarkStart w:id="32" w:name="_Toc501111521"/>
      <w:bookmarkEnd w:id="31"/>
      <w:bookmarkEnd w:id="32"/>
      <w:r w:rsidR="002B6ED0">
        <w:t xml:space="preserve">Initial reasonability limits for FUM values </w:t>
      </w:r>
    </w:p>
    <w:tbl>
      <w:tblPr>
        <w:tblStyle w:val="AEMOTable"/>
        <w:tblW w:w="0" w:type="auto"/>
        <w:tblLook w:val="04A0" w:firstRow="1" w:lastRow="0" w:firstColumn="1" w:lastColumn="0" w:noHBand="0" w:noVBand="1"/>
      </w:tblPr>
      <w:tblGrid>
        <w:gridCol w:w="3058"/>
        <w:gridCol w:w="3058"/>
        <w:gridCol w:w="3058"/>
      </w:tblGrid>
      <w:tr w:rsidR="00063B4E" w14:paraId="06CBEA71" w14:textId="77777777" w:rsidTr="00B11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EB84AF7" w14:textId="1E362661" w:rsidR="00063B4E" w:rsidRDefault="00063B4E" w:rsidP="0046618F">
            <w:pPr>
              <w:pStyle w:val="TableTitle"/>
            </w:pPr>
            <w:r w:rsidRPr="00B11D62">
              <w:t xml:space="preserve">Region </w:t>
            </w:r>
          </w:p>
        </w:tc>
        <w:tc>
          <w:tcPr>
            <w:tcW w:w="3058" w:type="dxa"/>
          </w:tcPr>
          <w:p w14:paraId="0F20B349" w14:textId="7B891E20" w:rsidR="00063B4E" w:rsidRDefault="00063B4E" w:rsidP="0046618F">
            <w:pPr>
              <w:pStyle w:val="TableTitle"/>
              <w:cnfStyle w:val="100000000000" w:firstRow="1" w:lastRow="0" w:firstColumn="0" w:lastColumn="0" w:oddVBand="0" w:evenVBand="0" w:oddHBand="0" w:evenHBand="0" w:firstRowFirstColumn="0" w:firstRowLastColumn="0" w:lastRowFirstColumn="0" w:lastRowLastColumn="0"/>
            </w:pPr>
            <w:r>
              <w:t xml:space="preserve">Upper Reasonability Limit for FUM </w:t>
            </w:r>
            <w:r w:rsidR="00C10393">
              <w:t>(MW)</w:t>
            </w:r>
          </w:p>
        </w:tc>
        <w:tc>
          <w:tcPr>
            <w:tcW w:w="3058" w:type="dxa"/>
          </w:tcPr>
          <w:p w14:paraId="748AAAEB" w14:textId="5655A563" w:rsidR="00063B4E" w:rsidRDefault="00063B4E" w:rsidP="0046618F">
            <w:pPr>
              <w:pStyle w:val="TableTitle"/>
              <w:cnfStyle w:val="100000000000" w:firstRow="1" w:lastRow="0" w:firstColumn="0" w:lastColumn="0" w:oddVBand="0" w:evenVBand="0" w:oddHBand="0" w:evenHBand="0" w:firstRowFirstColumn="0" w:firstRowLastColumn="0" w:lastRowFirstColumn="0" w:lastRowLastColumn="0"/>
            </w:pPr>
            <w:r>
              <w:t>Lower Reasonability Limit for FUM</w:t>
            </w:r>
            <w:r w:rsidR="00C10393">
              <w:t xml:space="preserve"> (MW) </w:t>
            </w:r>
          </w:p>
        </w:tc>
      </w:tr>
      <w:tr w:rsidR="00063B4E" w14:paraId="4A879460" w14:textId="77777777" w:rsidTr="00B11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57EDA846" w14:textId="4DE83AB6" w:rsidR="00063B4E" w:rsidRDefault="00063B4E" w:rsidP="0046618F">
            <w:pPr>
              <w:pStyle w:val="TableText"/>
            </w:pPr>
            <w:r>
              <w:t xml:space="preserve">NSW </w:t>
            </w:r>
          </w:p>
        </w:tc>
        <w:tc>
          <w:tcPr>
            <w:tcW w:w="3058" w:type="dxa"/>
          </w:tcPr>
          <w:p w14:paraId="535D5A3F" w14:textId="61213D7E" w:rsidR="00063B4E" w:rsidRDefault="00063B4E" w:rsidP="0046618F">
            <w:pPr>
              <w:pStyle w:val="TableText"/>
              <w:cnfStyle w:val="000000100000" w:firstRow="0" w:lastRow="0" w:firstColumn="0" w:lastColumn="0" w:oddVBand="0" w:evenVBand="0" w:oddHBand="1" w:evenHBand="0" w:firstRowFirstColumn="0" w:firstRowLastColumn="0" w:lastRowFirstColumn="0" w:lastRowLastColumn="0"/>
            </w:pPr>
            <w:r>
              <w:t xml:space="preserve">2500 </w:t>
            </w:r>
          </w:p>
        </w:tc>
        <w:tc>
          <w:tcPr>
            <w:tcW w:w="3058" w:type="dxa"/>
          </w:tcPr>
          <w:p w14:paraId="3F5C1467" w14:textId="534101C2" w:rsidR="00063B4E" w:rsidRDefault="00063B4E" w:rsidP="0046618F">
            <w:pPr>
              <w:pStyle w:val="TableText"/>
              <w:cnfStyle w:val="000000100000" w:firstRow="0" w:lastRow="0" w:firstColumn="0" w:lastColumn="0" w:oddVBand="0" w:evenVBand="0" w:oddHBand="1" w:evenHBand="0" w:firstRowFirstColumn="0" w:firstRowLastColumn="0" w:lastRowFirstColumn="0" w:lastRowLastColumn="0"/>
            </w:pPr>
            <w:r>
              <w:t>0</w:t>
            </w:r>
          </w:p>
        </w:tc>
      </w:tr>
      <w:tr w:rsidR="00063B4E" w14:paraId="71C41BA2" w14:textId="77777777" w:rsidTr="00B11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E54025D" w14:textId="7FED5A65" w:rsidR="00063B4E" w:rsidRDefault="00063B4E" w:rsidP="0046618F">
            <w:pPr>
              <w:pStyle w:val="TableText"/>
            </w:pPr>
            <w:r>
              <w:t xml:space="preserve">Queensland </w:t>
            </w:r>
          </w:p>
        </w:tc>
        <w:tc>
          <w:tcPr>
            <w:tcW w:w="3058" w:type="dxa"/>
          </w:tcPr>
          <w:p w14:paraId="07EB7B50" w14:textId="4FB1DC9C" w:rsidR="00063B4E" w:rsidRDefault="00063B4E" w:rsidP="0046618F">
            <w:pPr>
              <w:pStyle w:val="TableText"/>
              <w:cnfStyle w:val="000000010000" w:firstRow="0" w:lastRow="0" w:firstColumn="0" w:lastColumn="0" w:oddVBand="0" w:evenVBand="0" w:oddHBand="0" w:evenHBand="1" w:firstRowFirstColumn="0" w:firstRowLastColumn="0" w:lastRowFirstColumn="0" w:lastRowLastColumn="0"/>
            </w:pPr>
            <w:r>
              <w:t xml:space="preserve">1500 </w:t>
            </w:r>
          </w:p>
        </w:tc>
        <w:tc>
          <w:tcPr>
            <w:tcW w:w="3058" w:type="dxa"/>
          </w:tcPr>
          <w:p w14:paraId="6FE65126" w14:textId="756939B1" w:rsidR="00063B4E" w:rsidRDefault="00063B4E" w:rsidP="0046618F">
            <w:pPr>
              <w:pStyle w:val="TableText"/>
              <w:cnfStyle w:val="000000010000" w:firstRow="0" w:lastRow="0" w:firstColumn="0" w:lastColumn="0" w:oddVBand="0" w:evenVBand="0" w:oddHBand="0" w:evenHBand="1" w:firstRowFirstColumn="0" w:firstRowLastColumn="0" w:lastRowFirstColumn="0" w:lastRowLastColumn="0"/>
            </w:pPr>
            <w:r>
              <w:t>0</w:t>
            </w:r>
          </w:p>
        </w:tc>
      </w:tr>
      <w:tr w:rsidR="00063B4E" w14:paraId="45C49C06" w14:textId="77777777" w:rsidTr="00B11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0B65075F" w14:textId="60D72027" w:rsidR="00063B4E" w:rsidRDefault="00063B4E" w:rsidP="0046618F">
            <w:pPr>
              <w:pStyle w:val="TableText"/>
            </w:pPr>
            <w:r>
              <w:t>South Australia</w:t>
            </w:r>
          </w:p>
        </w:tc>
        <w:tc>
          <w:tcPr>
            <w:tcW w:w="3058" w:type="dxa"/>
          </w:tcPr>
          <w:p w14:paraId="3DD8822E" w14:textId="37F964E4" w:rsidR="00063B4E" w:rsidRDefault="00063B4E" w:rsidP="0046618F">
            <w:pPr>
              <w:pStyle w:val="TableText"/>
              <w:cnfStyle w:val="000000100000" w:firstRow="0" w:lastRow="0" w:firstColumn="0" w:lastColumn="0" w:oddVBand="0" w:evenVBand="0" w:oddHBand="1" w:evenHBand="0" w:firstRowFirstColumn="0" w:firstRowLastColumn="0" w:lastRowFirstColumn="0" w:lastRowLastColumn="0"/>
            </w:pPr>
            <w:r>
              <w:t>900</w:t>
            </w:r>
          </w:p>
        </w:tc>
        <w:tc>
          <w:tcPr>
            <w:tcW w:w="3058" w:type="dxa"/>
          </w:tcPr>
          <w:p w14:paraId="3607012B" w14:textId="75A047CE" w:rsidR="00063B4E" w:rsidRDefault="00063B4E" w:rsidP="0046618F">
            <w:pPr>
              <w:pStyle w:val="TableText"/>
              <w:cnfStyle w:val="000000100000" w:firstRow="0" w:lastRow="0" w:firstColumn="0" w:lastColumn="0" w:oddVBand="0" w:evenVBand="0" w:oddHBand="1" w:evenHBand="0" w:firstRowFirstColumn="0" w:firstRowLastColumn="0" w:lastRowFirstColumn="0" w:lastRowLastColumn="0"/>
            </w:pPr>
            <w:r>
              <w:t>0</w:t>
            </w:r>
          </w:p>
        </w:tc>
      </w:tr>
      <w:tr w:rsidR="00063B4E" w14:paraId="431DA9C8" w14:textId="77777777" w:rsidTr="00B11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22A25E02" w14:textId="20EFA6E5" w:rsidR="00063B4E" w:rsidRDefault="00063B4E" w:rsidP="0046618F">
            <w:pPr>
              <w:pStyle w:val="TableText"/>
            </w:pPr>
            <w:r>
              <w:t xml:space="preserve">Tasmania </w:t>
            </w:r>
          </w:p>
        </w:tc>
        <w:tc>
          <w:tcPr>
            <w:tcW w:w="3058" w:type="dxa"/>
          </w:tcPr>
          <w:p w14:paraId="49FD45AC" w14:textId="7FB2BB2B" w:rsidR="00063B4E" w:rsidRDefault="00063B4E" w:rsidP="0046618F">
            <w:pPr>
              <w:pStyle w:val="TableText"/>
              <w:cnfStyle w:val="000000010000" w:firstRow="0" w:lastRow="0" w:firstColumn="0" w:lastColumn="0" w:oddVBand="0" w:evenVBand="0" w:oddHBand="0" w:evenHBand="1" w:firstRowFirstColumn="0" w:firstRowLastColumn="0" w:lastRowFirstColumn="0" w:lastRowLastColumn="0"/>
            </w:pPr>
            <w:r>
              <w:t>40</w:t>
            </w:r>
            <w:r w:rsidR="00C10393">
              <w:t>0</w:t>
            </w:r>
          </w:p>
        </w:tc>
        <w:tc>
          <w:tcPr>
            <w:tcW w:w="3058" w:type="dxa"/>
          </w:tcPr>
          <w:p w14:paraId="1466B440" w14:textId="1A75F131" w:rsidR="00063B4E" w:rsidRDefault="00063B4E" w:rsidP="0046618F">
            <w:pPr>
              <w:pStyle w:val="TableText"/>
              <w:cnfStyle w:val="000000010000" w:firstRow="0" w:lastRow="0" w:firstColumn="0" w:lastColumn="0" w:oddVBand="0" w:evenVBand="0" w:oddHBand="0" w:evenHBand="1" w:firstRowFirstColumn="0" w:firstRowLastColumn="0" w:lastRowFirstColumn="0" w:lastRowLastColumn="0"/>
            </w:pPr>
            <w:r>
              <w:t>0</w:t>
            </w:r>
          </w:p>
        </w:tc>
      </w:tr>
      <w:tr w:rsidR="00063B4E" w14:paraId="4BA54433" w14:textId="77777777" w:rsidTr="00B11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64072FC7" w14:textId="39B29F2C" w:rsidR="00063B4E" w:rsidRDefault="00063B4E" w:rsidP="0046618F">
            <w:pPr>
              <w:pStyle w:val="TableText"/>
            </w:pPr>
            <w:r>
              <w:t xml:space="preserve">Victoria </w:t>
            </w:r>
          </w:p>
        </w:tc>
        <w:tc>
          <w:tcPr>
            <w:tcW w:w="3058" w:type="dxa"/>
          </w:tcPr>
          <w:p w14:paraId="02C0C222" w14:textId="14912192" w:rsidR="00063B4E" w:rsidRDefault="00063B4E" w:rsidP="0046618F">
            <w:pPr>
              <w:pStyle w:val="TableText"/>
              <w:cnfStyle w:val="000000100000" w:firstRow="0" w:lastRow="0" w:firstColumn="0" w:lastColumn="0" w:oddVBand="0" w:evenVBand="0" w:oddHBand="1" w:evenHBand="0" w:firstRowFirstColumn="0" w:firstRowLastColumn="0" w:lastRowFirstColumn="0" w:lastRowLastColumn="0"/>
            </w:pPr>
            <w:r>
              <w:t xml:space="preserve">1750 </w:t>
            </w:r>
          </w:p>
        </w:tc>
        <w:tc>
          <w:tcPr>
            <w:tcW w:w="3058" w:type="dxa"/>
          </w:tcPr>
          <w:p w14:paraId="37E447DA" w14:textId="4C94979C" w:rsidR="00063B4E" w:rsidRDefault="00C10393" w:rsidP="0046618F">
            <w:pPr>
              <w:pStyle w:val="TableText"/>
              <w:cnfStyle w:val="000000100000" w:firstRow="0" w:lastRow="0" w:firstColumn="0" w:lastColumn="0" w:oddVBand="0" w:evenVBand="0" w:oddHBand="1" w:evenHBand="0" w:firstRowFirstColumn="0" w:firstRowLastColumn="0" w:lastRowFirstColumn="0" w:lastRowLastColumn="0"/>
            </w:pPr>
            <w:r>
              <w:t>0</w:t>
            </w:r>
          </w:p>
        </w:tc>
      </w:tr>
    </w:tbl>
    <w:p w14:paraId="167AF87A" w14:textId="77777777" w:rsidR="00063B4E" w:rsidRDefault="00063B4E" w:rsidP="0046618F">
      <w:pPr>
        <w:pStyle w:val="TableFootnote"/>
      </w:pPr>
    </w:p>
    <w:p w14:paraId="7D3411DC" w14:textId="651197E5" w:rsidR="00063B4E" w:rsidRDefault="00C10393" w:rsidP="000C6D45">
      <w:pPr>
        <w:pStyle w:val="BodyText"/>
      </w:pPr>
      <w:r>
        <w:t xml:space="preserve">These are initial values only and will be adjusted by AEMO as necessary. </w:t>
      </w:r>
    </w:p>
    <w:p w14:paraId="3CD7995E" w14:textId="77777777" w:rsidR="00063B4E" w:rsidRPr="00A232A9" w:rsidRDefault="00063B4E" w:rsidP="000C6D45">
      <w:pPr>
        <w:pStyle w:val="BodyText"/>
      </w:pPr>
    </w:p>
    <w:p w14:paraId="0E6C9804" w14:textId="77777777" w:rsidR="00A232A9" w:rsidRDefault="00422549" w:rsidP="00422549">
      <w:pPr>
        <w:pStyle w:val="Heading1"/>
      </w:pPr>
      <w:bookmarkStart w:id="33" w:name="_Toc501453670"/>
      <w:r>
        <w:t>Determination</w:t>
      </w:r>
      <w:bookmarkEnd w:id="33"/>
    </w:p>
    <w:p w14:paraId="51130142" w14:textId="2679F2D9" w:rsidR="00A232A9" w:rsidRPr="00441E16" w:rsidRDefault="00A232A9" w:rsidP="000C6D45">
      <w:pPr>
        <w:pStyle w:val="BodyText"/>
      </w:pPr>
      <w:r w:rsidRPr="00B1725D">
        <w:t>Having considered the matters raised in submissions</w:t>
      </w:r>
      <w:r w:rsidR="000C6D45">
        <w:t xml:space="preserve"> and the additional matters described in this </w:t>
      </w:r>
      <w:r w:rsidR="00945C80">
        <w:t>r</w:t>
      </w:r>
      <w:r w:rsidR="000C6D45">
        <w:t>eport,</w:t>
      </w:r>
      <w:r w:rsidRPr="00B1725D">
        <w:t xml:space="preserve"> AEMO’s determination is to </w:t>
      </w:r>
      <w:r w:rsidR="000C6D45">
        <w:t>make</w:t>
      </w:r>
      <w:r w:rsidRPr="00B1725D">
        <w:t xml:space="preserve"> the initial version of the </w:t>
      </w:r>
      <w:r w:rsidRPr="00B1725D">
        <w:rPr>
          <w:b/>
        </w:rPr>
        <w:t xml:space="preserve">Reserve </w:t>
      </w:r>
      <w:r w:rsidR="000C6D45">
        <w:rPr>
          <w:b/>
        </w:rPr>
        <w:t xml:space="preserve">Level </w:t>
      </w:r>
      <w:r w:rsidRPr="00B1725D">
        <w:rPr>
          <w:b/>
        </w:rPr>
        <w:t>Declaration Guidelines</w:t>
      </w:r>
      <w:r w:rsidRPr="00B1725D">
        <w:t xml:space="preserve"> </w:t>
      </w:r>
      <w:r w:rsidR="00B1725D" w:rsidRPr="00B1725D">
        <w:t>in accordance with clause 11.103.2</w:t>
      </w:r>
      <w:r w:rsidR="00842677" w:rsidRPr="00B1725D">
        <w:t xml:space="preserve"> of the NER</w:t>
      </w:r>
      <w:r w:rsidR="007B0210" w:rsidRPr="00B1725D">
        <w:t xml:space="preserve"> in</w:t>
      </w:r>
      <w:r w:rsidRPr="00B1725D">
        <w:t xml:space="preserve"> the for</w:t>
      </w:r>
      <w:r w:rsidR="00842677" w:rsidRPr="00B1725D">
        <w:t>m</w:t>
      </w:r>
      <w:r w:rsidR="000C6D45">
        <w:t xml:space="preserve"> published with this </w:t>
      </w:r>
      <w:r w:rsidR="002073A3">
        <w:t>r</w:t>
      </w:r>
      <w:r w:rsidR="000C6D45">
        <w:t>eport on AEMO’s website</w:t>
      </w:r>
      <w:r w:rsidR="002244DE">
        <w:t>.</w:t>
      </w:r>
      <w:r w:rsidR="00842677" w:rsidRPr="00B1725D">
        <w:t xml:space="preserve"> </w:t>
      </w:r>
      <w:r w:rsidR="00441E16">
        <w:t>An</w:t>
      </w:r>
      <w:r w:rsidR="00441E16" w:rsidRPr="00B1725D">
        <w:t xml:space="preserve"> associated initial </w:t>
      </w:r>
      <w:r w:rsidR="00441E16" w:rsidRPr="00B1725D">
        <w:rPr>
          <w:b/>
        </w:rPr>
        <w:t>Lack of Reserve Credible Contingency List</w:t>
      </w:r>
      <w:r w:rsidR="00441E16">
        <w:t xml:space="preserve"> has also been determined and will be published alongside the Guidelines.</w:t>
      </w:r>
    </w:p>
    <w:p w14:paraId="05A6A245" w14:textId="7F529EEF" w:rsidR="00A232A9" w:rsidRDefault="00A232A9" w:rsidP="00A232A9">
      <w:pPr>
        <w:pStyle w:val="AppendixHeading1"/>
      </w:pPr>
      <w:bookmarkStart w:id="34" w:name="_Toc501453671"/>
      <w:r>
        <w:t>Glossary</w:t>
      </w:r>
      <w:bookmarkEnd w:id="34"/>
    </w:p>
    <w:p w14:paraId="164ECF3F" w14:textId="34E4A4CE" w:rsidR="00BD042E" w:rsidRDefault="00BD042E" w:rsidP="00BD042E">
      <w:pPr>
        <w:pStyle w:val="BodyText"/>
      </w:pPr>
      <w:r>
        <w:t>This document uses many terms that have meanings defined in the N</w:t>
      </w:r>
      <w:r w:rsidR="002073A3">
        <w:t>ER</w:t>
      </w:r>
      <w:r>
        <w:t>. The NER meanings are adopted unless otherwise specified.</w:t>
      </w:r>
      <w:r w:rsidR="00441E16">
        <w:t xml:space="preserve"> Other defined terms and acronyms are set out in the table below.</w:t>
      </w:r>
    </w:p>
    <w:p w14:paraId="774D1706" w14:textId="77777777" w:rsidR="002C2B44" w:rsidRDefault="002C2B44" w:rsidP="00BD042E">
      <w:pPr>
        <w:pStyle w:val="BodyText"/>
      </w:pPr>
    </w:p>
    <w:tbl>
      <w:tblPr>
        <w:tblStyle w:val="AEMOTable"/>
        <w:tblW w:w="0" w:type="auto"/>
        <w:tblLook w:val="0620" w:firstRow="1" w:lastRow="0" w:firstColumn="0" w:lastColumn="0" w:noHBand="1" w:noVBand="1"/>
      </w:tblPr>
      <w:tblGrid>
        <w:gridCol w:w="2280"/>
        <w:gridCol w:w="6894"/>
      </w:tblGrid>
      <w:tr w:rsidR="005A7AC4" w:rsidRPr="004954FD" w14:paraId="53FC42F8" w14:textId="77777777" w:rsidTr="003A55CC">
        <w:trPr>
          <w:cnfStyle w:val="100000000000" w:firstRow="1" w:lastRow="0" w:firstColumn="0" w:lastColumn="0" w:oddVBand="0" w:evenVBand="0" w:oddHBand="0" w:evenHBand="0" w:firstRowFirstColumn="0" w:firstRowLastColumn="0" w:lastRowFirstColumn="0" w:lastRowLastColumn="0"/>
        </w:trPr>
        <w:tc>
          <w:tcPr>
            <w:tcW w:w="2280" w:type="dxa"/>
          </w:tcPr>
          <w:p w14:paraId="361FFC80" w14:textId="77777777" w:rsidR="005A7AC4" w:rsidRPr="0019250F" w:rsidRDefault="005A7AC4" w:rsidP="003A55CC">
            <w:pPr>
              <w:pStyle w:val="TableTitle"/>
            </w:pPr>
            <w:r w:rsidRPr="0019250F">
              <w:t>Term</w:t>
            </w:r>
          </w:p>
        </w:tc>
        <w:tc>
          <w:tcPr>
            <w:tcW w:w="6894" w:type="dxa"/>
          </w:tcPr>
          <w:p w14:paraId="04267FAA" w14:textId="77777777" w:rsidR="005A7AC4" w:rsidRPr="004954FD" w:rsidRDefault="005A7AC4" w:rsidP="003A55CC">
            <w:pPr>
              <w:pStyle w:val="TableTitle"/>
            </w:pPr>
            <w:r w:rsidRPr="004954FD">
              <w:t>Definition</w:t>
            </w:r>
          </w:p>
        </w:tc>
      </w:tr>
      <w:tr w:rsidR="002244DE" w:rsidRPr="003439AE" w14:paraId="17F1FC76" w14:textId="77777777" w:rsidTr="005A7AC4">
        <w:tc>
          <w:tcPr>
            <w:tcW w:w="2280" w:type="dxa"/>
            <w:shd w:val="clear" w:color="auto" w:fill="16304A" w:themeFill="accent6" w:themeFillShade="BF"/>
          </w:tcPr>
          <w:p w14:paraId="43687C08" w14:textId="396EF23D" w:rsidR="002244DE" w:rsidRPr="0046618F" w:rsidRDefault="002244DE">
            <w:pPr>
              <w:pStyle w:val="TableText"/>
            </w:pPr>
            <w:r w:rsidRPr="0046618F">
              <w:t>AEMC</w:t>
            </w:r>
          </w:p>
        </w:tc>
        <w:tc>
          <w:tcPr>
            <w:tcW w:w="6894" w:type="dxa"/>
          </w:tcPr>
          <w:p w14:paraId="1A6B0D82" w14:textId="704FF0EA" w:rsidR="002244DE" w:rsidRPr="0046618F" w:rsidRDefault="002244DE">
            <w:pPr>
              <w:pStyle w:val="TableText"/>
            </w:pPr>
            <w:r w:rsidRPr="0046618F">
              <w:t>Australian Energy Market Commission</w:t>
            </w:r>
          </w:p>
        </w:tc>
      </w:tr>
      <w:tr w:rsidR="005A7AC4" w:rsidRPr="003439AE" w14:paraId="427A38E2" w14:textId="77777777" w:rsidTr="005A7AC4">
        <w:tc>
          <w:tcPr>
            <w:tcW w:w="2280" w:type="dxa"/>
            <w:shd w:val="clear" w:color="auto" w:fill="16304A" w:themeFill="accent6" w:themeFillShade="BF"/>
          </w:tcPr>
          <w:p w14:paraId="0FA2165D" w14:textId="77777777" w:rsidR="005A7AC4" w:rsidRPr="0046618F" w:rsidRDefault="005A7AC4">
            <w:pPr>
              <w:pStyle w:val="TableText"/>
            </w:pPr>
            <w:r w:rsidRPr="0046618F">
              <w:t>AEMO</w:t>
            </w:r>
          </w:p>
        </w:tc>
        <w:tc>
          <w:tcPr>
            <w:tcW w:w="6894" w:type="dxa"/>
          </w:tcPr>
          <w:p w14:paraId="5840A156" w14:textId="77777777" w:rsidR="005A7AC4" w:rsidRPr="0046618F" w:rsidRDefault="005A7AC4">
            <w:pPr>
              <w:pStyle w:val="TableText"/>
            </w:pPr>
            <w:r w:rsidRPr="0046618F">
              <w:t>Australian Energy Market Operator Limited</w:t>
            </w:r>
          </w:p>
        </w:tc>
      </w:tr>
      <w:tr w:rsidR="005A7AC4" w:rsidRPr="003439AE" w14:paraId="467AC2C4" w14:textId="77777777" w:rsidTr="005A7AC4">
        <w:tc>
          <w:tcPr>
            <w:tcW w:w="2280" w:type="dxa"/>
            <w:shd w:val="clear" w:color="auto" w:fill="16304A" w:themeFill="accent6" w:themeFillShade="BF"/>
          </w:tcPr>
          <w:p w14:paraId="65E50B5E" w14:textId="77777777" w:rsidR="005A7AC4" w:rsidRPr="0046618F" w:rsidRDefault="005A7AC4">
            <w:pPr>
              <w:pStyle w:val="TableText"/>
            </w:pPr>
            <w:r w:rsidRPr="0046618F">
              <w:t>AWEFS</w:t>
            </w:r>
          </w:p>
        </w:tc>
        <w:tc>
          <w:tcPr>
            <w:tcW w:w="6894" w:type="dxa"/>
          </w:tcPr>
          <w:p w14:paraId="1EF20A1D" w14:textId="77777777" w:rsidR="005A7AC4" w:rsidRPr="0046618F" w:rsidRDefault="005A7AC4">
            <w:pPr>
              <w:pStyle w:val="TableText"/>
            </w:pPr>
            <w:r w:rsidRPr="0046618F">
              <w:t>Australian Wind Energy Forecasting System</w:t>
            </w:r>
          </w:p>
        </w:tc>
      </w:tr>
      <w:tr w:rsidR="005A7AC4" w14:paraId="3090C1FA" w14:textId="77777777" w:rsidTr="005A7AC4">
        <w:tc>
          <w:tcPr>
            <w:tcW w:w="2280" w:type="dxa"/>
            <w:shd w:val="clear" w:color="auto" w:fill="16304A" w:themeFill="accent6" w:themeFillShade="BF"/>
          </w:tcPr>
          <w:p w14:paraId="6E8EB6F0" w14:textId="77777777" w:rsidR="005A7AC4" w:rsidRPr="0046618F" w:rsidRDefault="005A7AC4">
            <w:pPr>
              <w:pStyle w:val="TableText"/>
            </w:pPr>
            <w:r w:rsidRPr="0046618F">
              <w:t>ASEFS</w:t>
            </w:r>
          </w:p>
        </w:tc>
        <w:tc>
          <w:tcPr>
            <w:tcW w:w="6894" w:type="dxa"/>
          </w:tcPr>
          <w:p w14:paraId="740CF7F1" w14:textId="77777777" w:rsidR="005A7AC4" w:rsidRPr="0046618F" w:rsidRDefault="005A7AC4">
            <w:pPr>
              <w:pStyle w:val="TableText"/>
            </w:pPr>
            <w:r w:rsidRPr="0046618F">
              <w:t>Australian Solar Energy Forecasting System</w:t>
            </w:r>
          </w:p>
        </w:tc>
      </w:tr>
      <w:tr w:rsidR="005A7AC4" w14:paraId="29126B9F" w14:textId="77777777" w:rsidTr="005A7AC4">
        <w:tc>
          <w:tcPr>
            <w:tcW w:w="2280" w:type="dxa"/>
            <w:shd w:val="clear" w:color="auto" w:fill="16304A" w:themeFill="accent6" w:themeFillShade="BF"/>
          </w:tcPr>
          <w:p w14:paraId="3C6E5D2D" w14:textId="77777777" w:rsidR="005A7AC4" w:rsidRPr="0046618F" w:rsidRDefault="005A7AC4">
            <w:pPr>
              <w:pStyle w:val="TableText"/>
            </w:pPr>
            <w:r w:rsidRPr="0046618F">
              <w:t>BBN</w:t>
            </w:r>
          </w:p>
        </w:tc>
        <w:tc>
          <w:tcPr>
            <w:tcW w:w="6894" w:type="dxa"/>
          </w:tcPr>
          <w:p w14:paraId="70F95A84" w14:textId="77777777" w:rsidR="005A7AC4" w:rsidRPr="0046618F" w:rsidRDefault="005A7AC4">
            <w:pPr>
              <w:pStyle w:val="TableText"/>
            </w:pPr>
            <w:r w:rsidRPr="0046618F">
              <w:t>Bayesian Belief Network</w:t>
            </w:r>
          </w:p>
        </w:tc>
      </w:tr>
      <w:tr w:rsidR="005A7AC4" w:rsidRPr="003439AE" w14:paraId="0B561B19" w14:textId="77777777" w:rsidTr="005A7AC4">
        <w:tc>
          <w:tcPr>
            <w:tcW w:w="2280" w:type="dxa"/>
            <w:shd w:val="clear" w:color="auto" w:fill="16304A" w:themeFill="accent6" w:themeFillShade="BF"/>
          </w:tcPr>
          <w:p w14:paraId="2DF93BF9" w14:textId="77777777" w:rsidR="005A7AC4" w:rsidRPr="0046618F" w:rsidRDefault="005A7AC4">
            <w:pPr>
              <w:pStyle w:val="TableText"/>
            </w:pPr>
            <w:r w:rsidRPr="0046618F">
              <w:t>FUM</w:t>
            </w:r>
          </w:p>
        </w:tc>
        <w:tc>
          <w:tcPr>
            <w:tcW w:w="6894" w:type="dxa"/>
          </w:tcPr>
          <w:p w14:paraId="4D7E8F8E" w14:textId="77777777" w:rsidR="005A7AC4" w:rsidRPr="0046618F" w:rsidRDefault="005A7AC4">
            <w:pPr>
              <w:pStyle w:val="TableText"/>
            </w:pPr>
            <w:r w:rsidRPr="0046618F">
              <w:t>Forecast uncertainty measure</w:t>
            </w:r>
          </w:p>
        </w:tc>
      </w:tr>
      <w:tr w:rsidR="00361ADC" w:rsidRPr="003439AE" w14:paraId="133D400F" w14:textId="77777777" w:rsidTr="005A7AC4">
        <w:tc>
          <w:tcPr>
            <w:tcW w:w="2280" w:type="dxa"/>
            <w:shd w:val="clear" w:color="auto" w:fill="16304A" w:themeFill="accent6" w:themeFillShade="BF"/>
          </w:tcPr>
          <w:p w14:paraId="79E5ABC2" w14:textId="2FCF431C" w:rsidR="00361ADC" w:rsidRPr="0046618F" w:rsidRDefault="00361ADC">
            <w:pPr>
              <w:pStyle w:val="TableText"/>
            </w:pPr>
            <w:r w:rsidRPr="0046618F">
              <w:t>Guidelines</w:t>
            </w:r>
          </w:p>
        </w:tc>
        <w:tc>
          <w:tcPr>
            <w:tcW w:w="6894" w:type="dxa"/>
          </w:tcPr>
          <w:p w14:paraId="7AFB3C17" w14:textId="3D4E63D6" w:rsidR="00361ADC" w:rsidRPr="0046618F" w:rsidRDefault="00361ADC">
            <w:pPr>
              <w:pStyle w:val="TableText"/>
            </w:pPr>
            <w:r w:rsidRPr="0046618F">
              <w:t>Reserve Level Declaration Guidelines</w:t>
            </w:r>
          </w:p>
        </w:tc>
      </w:tr>
      <w:tr w:rsidR="005A7AC4" w:rsidRPr="003439AE" w14:paraId="662FABC6" w14:textId="77777777" w:rsidTr="005A7AC4">
        <w:tc>
          <w:tcPr>
            <w:tcW w:w="2280" w:type="dxa"/>
            <w:shd w:val="clear" w:color="auto" w:fill="16304A" w:themeFill="accent6" w:themeFillShade="BF"/>
          </w:tcPr>
          <w:p w14:paraId="015A3FC3" w14:textId="77777777" w:rsidR="005A7AC4" w:rsidRPr="0046618F" w:rsidRDefault="005A7AC4">
            <w:pPr>
              <w:pStyle w:val="TableText"/>
            </w:pPr>
            <w:r w:rsidRPr="0046618F">
              <w:t>LCR</w:t>
            </w:r>
          </w:p>
        </w:tc>
        <w:tc>
          <w:tcPr>
            <w:tcW w:w="6894" w:type="dxa"/>
          </w:tcPr>
          <w:p w14:paraId="7E4CDFB9" w14:textId="4D7C2005" w:rsidR="005A7AC4" w:rsidRPr="0046618F" w:rsidRDefault="005A7AC4">
            <w:pPr>
              <w:pStyle w:val="TableText"/>
            </w:pPr>
            <w:r w:rsidRPr="0046618F">
              <w:t xml:space="preserve">Largest credible risk – see clause </w:t>
            </w:r>
            <w:r w:rsidR="00361ADC" w:rsidRPr="0046618F">
              <w:t>4 of Guidelines</w:t>
            </w:r>
          </w:p>
        </w:tc>
      </w:tr>
      <w:tr w:rsidR="005A7AC4" w14:paraId="3F4D81B1" w14:textId="77777777" w:rsidTr="005A7AC4">
        <w:tc>
          <w:tcPr>
            <w:tcW w:w="2280" w:type="dxa"/>
            <w:shd w:val="clear" w:color="auto" w:fill="16304A" w:themeFill="accent6" w:themeFillShade="BF"/>
          </w:tcPr>
          <w:p w14:paraId="4DDDC224" w14:textId="77777777" w:rsidR="005A7AC4" w:rsidRPr="0046618F" w:rsidRDefault="005A7AC4">
            <w:pPr>
              <w:pStyle w:val="TableText"/>
            </w:pPr>
            <w:r w:rsidRPr="0046618F">
              <w:t>LCR2</w:t>
            </w:r>
          </w:p>
        </w:tc>
        <w:tc>
          <w:tcPr>
            <w:tcW w:w="6894" w:type="dxa"/>
          </w:tcPr>
          <w:p w14:paraId="4F6DB88B" w14:textId="62263605" w:rsidR="005A7AC4" w:rsidRPr="0046618F" w:rsidRDefault="005A7AC4">
            <w:pPr>
              <w:pStyle w:val="TableText"/>
            </w:pPr>
            <w:r w:rsidRPr="0046618F">
              <w:t>Two largest credible risks – see clause 4</w:t>
            </w:r>
            <w:r w:rsidR="00361ADC" w:rsidRPr="0046618F">
              <w:t xml:space="preserve"> of Guidelines </w:t>
            </w:r>
          </w:p>
        </w:tc>
      </w:tr>
      <w:tr w:rsidR="005A7AC4" w:rsidRPr="003439AE" w14:paraId="180A9EB6" w14:textId="77777777" w:rsidTr="005A7AC4">
        <w:tc>
          <w:tcPr>
            <w:tcW w:w="2280" w:type="dxa"/>
            <w:shd w:val="clear" w:color="auto" w:fill="16304A" w:themeFill="accent6" w:themeFillShade="BF"/>
          </w:tcPr>
          <w:p w14:paraId="1B752AEF" w14:textId="77777777" w:rsidR="005A7AC4" w:rsidRPr="0046618F" w:rsidRDefault="005A7AC4">
            <w:pPr>
              <w:pStyle w:val="TableText"/>
            </w:pPr>
            <w:r w:rsidRPr="0046618F">
              <w:t>LOR</w:t>
            </w:r>
          </w:p>
        </w:tc>
        <w:tc>
          <w:tcPr>
            <w:tcW w:w="6894" w:type="dxa"/>
          </w:tcPr>
          <w:p w14:paraId="78FCDF2C" w14:textId="35C94CB8" w:rsidR="005A7AC4" w:rsidRPr="0046618F" w:rsidRDefault="005A7AC4">
            <w:pPr>
              <w:pStyle w:val="TableText"/>
            </w:pPr>
            <w:r w:rsidRPr="0046618F">
              <w:t>Lack of reserve (may be followed by a number corresponding with a reserve level defined in the Guidelines)</w:t>
            </w:r>
          </w:p>
        </w:tc>
      </w:tr>
      <w:tr w:rsidR="005A7AC4" w:rsidRPr="003439AE" w14:paraId="37BF50DA" w14:textId="77777777" w:rsidTr="005A7AC4">
        <w:tc>
          <w:tcPr>
            <w:tcW w:w="2280" w:type="dxa"/>
            <w:shd w:val="clear" w:color="auto" w:fill="16304A" w:themeFill="accent6" w:themeFillShade="BF"/>
          </w:tcPr>
          <w:p w14:paraId="6A776C2E" w14:textId="77777777" w:rsidR="005A7AC4" w:rsidRPr="0046618F" w:rsidRDefault="005A7AC4">
            <w:pPr>
              <w:pStyle w:val="TableText"/>
            </w:pPr>
            <w:r w:rsidRPr="0046618F">
              <w:t>LOR assessment horizon</w:t>
            </w:r>
          </w:p>
        </w:tc>
        <w:tc>
          <w:tcPr>
            <w:tcW w:w="6894" w:type="dxa"/>
          </w:tcPr>
          <w:p w14:paraId="027E062B" w14:textId="0C31072C" w:rsidR="005A7AC4" w:rsidRPr="0046618F" w:rsidRDefault="005A7AC4">
            <w:pPr>
              <w:pStyle w:val="TableText"/>
            </w:pPr>
            <w:r w:rsidRPr="0046618F">
              <w:t xml:space="preserve">The period of time described in </w:t>
            </w:r>
            <w:r w:rsidR="00361ADC" w:rsidRPr="0046618F">
              <w:t>clause 2 of the Guidelines</w:t>
            </w:r>
          </w:p>
        </w:tc>
      </w:tr>
      <w:tr w:rsidR="005A7AC4" w:rsidRPr="00F52ABF" w14:paraId="2FF1754E" w14:textId="77777777" w:rsidTr="005A7AC4">
        <w:tc>
          <w:tcPr>
            <w:tcW w:w="2280" w:type="dxa"/>
            <w:shd w:val="clear" w:color="auto" w:fill="16304A" w:themeFill="accent6" w:themeFillShade="BF"/>
          </w:tcPr>
          <w:p w14:paraId="418D7BA3" w14:textId="77777777" w:rsidR="005A7AC4" w:rsidRPr="0046618F" w:rsidRDefault="005A7AC4">
            <w:pPr>
              <w:pStyle w:val="TableText"/>
            </w:pPr>
            <w:r w:rsidRPr="0046618F">
              <w:t>LOR Load Shedding</w:t>
            </w:r>
          </w:p>
        </w:tc>
        <w:tc>
          <w:tcPr>
            <w:tcW w:w="6894" w:type="dxa"/>
          </w:tcPr>
          <w:p w14:paraId="6BCCEEC9" w14:textId="77777777" w:rsidR="005A7AC4" w:rsidRPr="0046618F" w:rsidRDefault="005A7AC4">
            <w:pPr>
              <w:pStyle w:val="TableText"/>
            </w:pPr>
            <w:r w:rsidRPr="0046618F">
              <w:t xml:space="preserve">The reduction or disconnection or reduction of load (other than interruptible load). </w:t>
            </w:r>
          </w:p>
        </w:tc>
      </w:tr>
      <w:tr w:rsidR="005A7AC4" w:rsidRPr="003439AE" w14:paraId="1DBDA13A" w14:textId="77777777" w:rsidTr="005A7AC4">
        <w:tc>
          <w:tcPr>
            <w:tcW w:w="2280" w:type="dxa"/>
            <w:shd w:val="clear" w:color="auto" w:fill="16304A" w:themeFill="accent6" w:themeFillShade="BF"/>
          </w:tcPr>
          <w:p w14:paraId="5D2DF48C" w14:textId="77777777" w:rsidR="005A7AC4" w:rsidRPr="0046618F" w:rsidRDefault="005A7AC4">
            <w:pPr>
              <w:pStyle w:val="TableText"/>
            </w:pPr>
            <w:r w:rsidRPr="0046618F">
              <w:t>LOR1 threshold</w:t>
            </w:r>
          </w:p>
        </w:tc>
        <w:tc>
          <w:tcPr>
            <w:tcW w:w="6894" w:type="dxa"/>
          </w:tcPr>
          <w:p w14:paraId="470B7613" w14:textId="13238176" w:rsidR="005A7AC4" w:rsidRPr="0046618F" w:rsidRDefault="005A7AC4">
            <w:pPr>
              <w:pStyle w:val="TableText"/>
            </w:pPr>
            <w:r w:rsidRPr="0046618F">
              <w:t>The level of capacity reserves below which AEMO may declare an LOR1 condition – see clause 2(d)</w:t>
            </w:r>
            <w:r w:rsidR="00361ADC" w:rsidRPr="0046618F">
              <w:t xml:space="preserve"> of the Guidelines</w:t>
            </w:r>
          </w:p>
        </w:tc>
      </w:tr>
      <w:tr w:rsidR="005A7AC4" w:rsidRPr="003439AE" w14:paraId="0E246BEC" w14:textId="77777777" w:rsidTr="005A7AC4">
        <w:tc>
          <w:tcPr>
            <w:tcW w:w="2280" w:type="dxa"/>
            <w:shd w:val="clear" w:color="auto" w:fill="16304A" w:themeFill="accent6" w:themeFillShade="BF"/>
          </w:tcPr>
          <w:p w14:paraId="0EDEFE3F" w14:textId="77777777" w:rsidR="005A7AC4" w:rsidRPr="0046618F" w:rsidRDefault="005A7AC4">
            <w:pPr>
              <w:pStyle w:val="TableText"/>
            </w:pPr>
            <w:r w:rsidRPr="0046618F">
              <w:t>LOR2 threshold</w:t>
            </w:r>
          </w:p>
        </w:tc>
        <w:tc>
          <w:tcPr>
            <w:tcW w:w="6894" w:type="dxa"/>
          </w:tcPr>
          <w:p w14:paraId="1BCC7800" w14:textId="4FECE598" w:rsidR="005A7AC4" w:rsidRPr="0046618F" w:rsidRDefault="005A7AC4">
            <w:pPr>
              <w:pStyle w:val="TableText"/>
            </w:pPr>
            <w:r w:rsidRPr="0046618F">
              <w:t>The level of capacity reserves below which AEMO may declare an LOR2 condition – see clause 2(c)</w:t>
            </w:r>
            <w:r w:rsidR="00361ADC" w:rsidRPr="0046618F">
              <w:t xml:space="preserve"> of the Guidelines</w:t>
            </w:r>
          </w:p>
        </w:tc>
      </w:tr>
      <w:tr w:rsidR="005A7AC4" w:rsidRPr="003439AE" w14:paraId="797BACC7" w14:textId="77777777" w:rsidTr="005A7AC4">
        <w:tc>
          <w:tcPr>
            <w:tcW w:w="2280" w:type="dxa"/>
            <w:shd w:val="clear" w:color="auto" w:fill="16304A" w:themeFill="accent6" w:themeFillShade="BF"/>
          </w:tcPr>
          <w:p w14:paraId="264D00FF" w14:textId="77777777" w:rsidR="005A7AC4" w:rsidRPr="0046618F" w:rsidRDefault="005A7AC4">
            <w:pPr>
              <w:pStyle w:val="TableText"/>
            </w:pPr>
            <w:r w:rsidRPr="0046618F">
              <w:t>MW</w:t>
            </w:r>
          </w:p>
        </w:tc>
        <w:tc>
          <w:tcPr>
            <w:tcW w:w="6894" w:type="dxa"/>
          </w:tcPr>
          <w:p w14:paraId="732BFC51" w14:textId="77777777" w:rsidR="005A7AC4" w:rsidRPr="0046618F" w:rsidRDefault="005A7AC4">
            <w:pPr>
              <w:pStyle w:val="TableText"/>
            </w:pPr>
            <w:r w:rsidRPr="0046618F">
              <w:t>Megawatts</w:t>
            </w:r>
          </w:p>
        </w:tc>
      </w:tr>
      <w:tr w:rsidR="005A7AC4" w:rsidRPr="003439AE" w14:paraId="1575D3CE" w14:textId="77777777" w:rsidTr="005A7AC4">
        <w:tc>
          <w:tcPr>
            <w:tcW w:w="2280" w:type="dxa"/>
            <w:shd w:val="clear" w:color="auto" w:fill="16304A" w:themeFill="accent6" w:themeFillShade="BF"/>
          </w:tcPr>
          <w:p w14:paraId="18A04A27" w14:textId="77777777" w:rsidR="005A7AC4" w:rsidRPr="0046618F" w:rsidRDefault="005A7AC4">
            <w:pPr>
              <w:pStyle w:val="TableText"/>
            </w:pPr>
            <w:r w:rsidRPr="0046618F">
              <w:t>MWh</w:t>
            </w:r>
          </w:p>
        </w:tc>
        <w:tc>
          <w:tcPr>
            <w:tcW w:w="6894" w:type="dxa"/>
          </w:tcPr>
          <w:p w14:paraId="58497762" w14:textId="77777777" w:rsidR="005A7AC4" w:rsidRPr="0046618F" w:rsidRDefault="005A7AC4">
            <w:pPr>
              <w:pStyle w:val="TableText"/>
            </w:pPr>
            <w:r w:rsidRPr="0046618F">
              <w:t>Megawatt hours</w:t>
            </w:r>
          </w:p>
        </w:tc>
      </w:tr>
      <w:tr w:rsidR="002073A3" w:rsidRPr="003439AE" w14:paraId="5081695C" w14:textId="77777777" w:rsidTr="005A7AC4">
        <w:tc>
          <w:tcPr>
            <w:tcW w:w="2280" w:type="dxa"/>
            <w:shd w:val="clear" w:color="auto" w:fill="16304A" w:themeFill="accent6" w:themeFillShade="BF"/>
          </w:tcPr>
          <w:p w14:paraId="1FB9214F" w14:textId="0FB3BE39" w:rsidR="002073A3" w:rsidRPr="0046618F" w:rsidRDefault="002073A3">
            <w:pPr>
              <w:pStyle w:val="TableText"/>
            </w:pPr>
            <w:r w:rsidRPr="0046618F">
              <w:t>NEM</w:t>
            </w:r>
          </w:p>
        </w:tc>
        <w:tc>
          <w:tcPr>
            <w:tcW w:w="6894" w:type="dxa"/>
          </w:tcPr>
          <w:p w14:paraId="1C3FA3F3" w14:textId="7D955557" w:rsidR="002073A3" w:rsidRPr="0046618F" w:rsidRDefault="002073A3">
            <w:pPr>
              <w:pStyle w:val="TableText"/>
            </w:pPr>
            <w:r w:rsidRPr="0046618F">
              <w:t>National Electricity Market</w:t>
            </w:r>
          </w:p>
        </w:tc>
      </w:tr>
      <w:tr w:rsidR="005A7AC4" w:rsidRPr="003439AE" w14:paraId="1C319360" w14:textId="77777777" w:rsidTr="005A7AC4">
        <w:tc>
          <w:tcPr>
            <w:tcW w:w="2280" w:type="dxa"/>
            <w:shd w:val="clear" w:color="auto" w:fill="16304A" w:themeFill="accent6" w:themeFillShade="BF"/>
          </w:tcPr>
          <w:p w14:paraId="644B3A35" w14:textId="77777777" w:rsidR="005A7AC4" w:rsidRPr="0046618F" w:rsidRDefault="005A7AC4">
            <w:pPr>
              <w:pStyle w:val="TableText"/>
            </w:pPr>
            <w:r w:rsidRPr="0046618F">
              <w:t>NER</w:t>
            </w:r>
          </w:p>
        </w:tc>
        <w:tc>
          <w:tcPr>
            <w:tcW w:w="6894" w:type="dxa"/>
          </w:tcPr>
          <w:p w14:paraId="3505022F" w14:textId="77777777" w:rsidR="005A7AC4" w:rsidRPr="0046618F" w:rsidRDefault="005A7AC4">
            <w:pPr>
              <w:pStyle w:val="TableText"/>
            </w:pPr>
            <w:r w:rsidRPr="0046618F">
              <w:t>National Electricity Rules</w:t>
            </w:r>
          </w:p>
        </w:tc>
      </w:tr>
      <w:tr w:rsidR="005A7AC4" w:rsidRPr="003439AE" w14:paraId="69ACE7B4" w14:textId="77777777" w:rsidTr="005A7AC4">
        <w:tc>
          <w:tcPr>
            <w:tcW w:w="2280" w:type="dxa"/>
            <w:shd w:val="clear" w:color="auto" w:fill="16304A" w:themeFill="accent6" w:themeFillShade="BF"/>
          </w:tcPr>
          <w:p w14:paraId="4D2F2E67" w14:textId="5414E9ED" w:rsidR="005A7AC4" w:rsidRPr="0046618F" w:rsidRDefault="005A7AC4">
            <w:pPr>
              <w:pStyle w:val="TableText"/>
            </w:pPr>
            <w:r w:rsidRPr="0046618F">
              <w:t>Operational Demand</w:t>
            </w:r>
          </w:p>
        </w:tc>
        <w:tc>
          <w:tcPr>
            <w:tcW w:w="6894" w:type="dxa"/>
          </w:tcPr>
          <w:p w14:paraId="26140913" w14:textId="415EF8BF" w:rsidR="005A7AC4" w:rsidRPr="0046618F" w:rsidRDefault="005A7AC4">
            <w:pPr>
              <w:pStyle w:val="TableText"/>
            </w:pPr>
            <w:r w:rsidRPr="0046618F">
              <w:t>A quantity (in MW) determined by AEMO representing the instantaneous demand of load (other than scheduled load) to be supplied by sent out generation of scheduled generating units, semi-scheduled generating units, and significant non-scheduled generating units. For further information about demand definitions see “AEMO Operational Demand Definition – Summary Document”</w:t>
            </w:r>
          </w:p>
        </w:tc>
      </w:tr>
      <w:tr w:rsidR="006329C7" w:rsidRPr="003439AE" w14:paraId="6E7D002D" w14:textId="77777777" w:rsidTr="005A7AC4">
        <w:tc>
          <w:tcPr>
            <w:tcW w:w="2280" w:type="dxa"/>
            <w:shd w:val="clear" w:color="auto" w:fill="16304A" w:themeFill="accent6" w:themeFillShade="BF"/>
          </w:tcPr>
          <w:p w14:paraId="67F2FC9E" w14:textId="4C7CAF90" w:rsidR="006329C7" w:rsidRPr="0046618F" w:rsidRDefault="006329C7">
            <w:pPr>
              <w:pStyle w:val="TableText"/>
            </w:pPr>
            <w:r w:rsidRPr="0046618F">
              <w:t>Rule</w:t>
            </w:r>
          </w:p>
        </w:tc>
        <w:tc>
          <w:tcPr>
            <w:tcW w:w="6894" w:type="dxa"/>
          </w:tcPr>
          <w:p w14:paraId="6FD23660" w14:textId="666812D5" w:rsidR="006329C7" w:rsidRPr="0046618F" w:rsidRDefault="006329C7">
            <w:pPr>
              <w:pStyle w:val="TableText"/>
            </w:pPr>
            <w:r w:rsidRPr="0046618F">
              <w:t>National Electricity Amendment (Declaration of lack of reserve conditions) Rule 2017,</w:t>
            </w:r>
          </w:p>
        </w:tc>
      </w:tr>
      <w:tr w:rsidR="005A7AC4" w:rsidRPr="003439AE" w14:paraId="0F8CCBCF" w14:textId="77777777" w:rsidTr="005A7AC4">
        <w:tc>
          <w:tcPr>
            <w:tcW w:w="2280" w:type="dxa"/>
            <w:shd w:val="clear" w:color="auto" w:fill="16304A" w:themeFill="accent6" w:themeFillShade="BF"/>
          </w:tcPr>
          <w:p w14:paraId="42992EC9" w14:textId="27738CE2" w:rsidR="005A7AC4" w:rsidRPr="0046618F" w:rsidRDefault="005A7AC4">
            <w:pPr>
              <w:pStyle w:val="TableText"/>
            </w:pPr>
            <w:r w:rsidRPr="0046618F">
              <w:t>RXS</w:t>
            </w:r>
          </w:p>
        </w:tc>
        <w:tc>
          <w:tcPr>
            <w:tcW w:w="6894" w:type="dxa"/>
          </w:tcPr>
          <w:p w14:paraId="09A4BA54" w14:textId="16F074EC" w:rsidR="005A7AC4" w:rsidRPr="0046618F" w:rsidRDefault="005A7AC4">
            <w:pPr>
              <w:pStyle w:val="TableText"/>
            </w:pPr>
            <w:r w:rsidRPr="0046618F">
              <w:t>Regional excess supply</w:t>
            </w:r>
          </w:p>
        </w:tc>
      </w:tr>
      <w:tr w:rsidR="005A7AC4" w:rsidRPr="003439AE" w14:paraId="7027B3D9" w14:textId="77777777" w:rsidTr="005A7AC4">
        <w:tc>
          <w:tcPr>
            <w:tcW w:w="2280" w:type="dxa"/>
            <w:shd w:val="clear" w:color="auto" w:fill="16304A" w:themeFill="accent6" w:themeFillShade="BF"/>
          </w:tcPr>
          <w:p w14:paraId="22ADB35D" w14:textId="3E2B8AD6" w:rsidR="005A7AC4" w:rsidRPr="0046618F" w:rsidRDefault="005A7AC4">
            <w:pPr>
              <w:pStyle w:val="TableText"/>
            </w:pPr>
            <w:r w:rsidRPr="0046618F">
              <w:t>RXS error</w:t>
            </w:r>
          </w:p>
        </w:tc>
        <w:tc>
          <w:tcPr>
            <w:tcW w:w="6894" w:type="dxa"/>
          </w:tcPr>
          <w:p w14:paraId="7CC6C2AF" w14:textId="7FA2CF91" w:rsidR="005A7AC4" w:rsidRPr="0046618F" w:rsidRDefault="005A7AC4">
            <w:pPr>
              <w:pStyle w:val="TableText"/>
            </w:pPr>
            <w:r w:rsidRPr="0046618F">
              <w:t>The expected difference between forecast RXS and actual RXS (see</w:t>
            </w:r>
            <w:r w:rsidR="00361ADC" w:rsidRPr="0046618F">
              <w:t xml:space="preserve"> clause 3.2 of the Guidelines</w:t>
            </w:r>
          </w:p>
        </w:tc>
      </w:tr>
      <w:tr w:rsidR="005A7AC4" w:rsidRPr="003439AE" w14:paraId="23A24590" w14:textId="77777777" w:rsidTr="005A7AC4">
        <w:tc>
          <w:tcPr>
            <w:tcW w:w="2280" w:type="dxa"/>
            <w:shd w:val="clear" w:color="auto" w:fill="16304A" w:themeFill="accent6" w:themeFillShade="BF"/>
          </w:tcPr>
          <w:p w14:paraId="5E181B58" w14:textId="23536288" w:rsidR="005A7AC4" w:rsidRPr="0046618F" w:rsidRDefault="005A7AC4">
            <w:pPr>
              <w:pStyle w:val="TableText"/>
            </w:pPr>
            <w:r w:rsidRPr="0046618F">
              <w:t>STPASA</w:t>
            </w:r>
          </w:p>
        </w:tc>
        <w:tc>
          <w:tcPr>
            <w:tcW w:w="6894" w:type="dxa"/>
          </w:tcPr>
          <w:p w14:paraId="5DDDDE33" w14:textId="50F7BE3E" w:rsidR="005A7AC4" w:rsidRPr="0046618F" w:rsidRDefault="005A7AC4">
            <w:pPr>
              <w:pStyle w:val="TableText"/>
            </w:pPr>
            <w:r w:rsidRPr="0046618F">
              <w:t>Short-term PASA</w:t>
            </w:r>
          </w:p>
        </w:tc>
      </w:tr>
      <w:tr w:rsidR="00C23A86" w:rsidRPr="003439AE" w14:paraId="0BF66DC4" w14:textId="77777777" w:rsidTr="005A7AC4">
        <w:tc>
          <w:tcPr>
            <w:tcW w:w="2280" w:type="dxa"/>
            <w:shd w:val="clear" w:color="auto" w:fill="16304A" w:themeFill="accent6" w:themeFillShade="BF"/>
          </w:tcPr>
          <w:p w14:paraId="1AD30349" w14:textId="07DDC17D" w:rsidR="00C23A86" w:rsidRPr="0046618F" w:rsidRDefault="00C23A86">
            <w:pPr>
              <w:pStyle w:val="TableText"/>
            </w:pPr>
            <w:r w:rsidRPr="0046618F">
              <w:t xml:space="preserve">TI </w:t>
            </w:r>
          </w:p>
        </w:tc>
        <w:tc>
          <w:tcPr>
            <w:tcW w:w="6894" w:type="dxa"/>
          </w:tcPr>
          <w:p w14:paraId="2C31C244" w14:textId="03BCE79B" w:rsidR="00C23A86" w:rsidRPr="0046618F" w:rsidRDefault="00C23A86" w:rsidP="00441E16">
            <w:pPr>
              <w:pStyle w:val="TableText"/>
            </w:pPr>
            <w:r w:rsidRPr="0046618F">
              <w:t xml:space="preserve">Trading </w:t>
            </w:r>
            <w:r w:rsidR="00441E16">
              <w:t>i</w:t>
            </w:r>
            <w:r w:rsidRPr="0046618F">
              <w:t xml:space="preserve">nterval </w:t>
            </w:r>
          </w:p>
        </w:tc>
      </w:tr>
    </w:tbl>
    <w:p w14:paraId="29507664" w14:textId="77777777" w:rsidR="00BD042E" w:rsidRPr="00BD042E" w:rsidRDefault="00BD042E" w:rsidP="00BD042E">
      <w:pPr>
        <w:pStyle w:val="BodyText"/>
      </w:pPr>
    </w:p>
    <w:p w14:paraId="5B7EC196" w14:textId="77777777" w:rsidR="00BD042E" w:rsidRPr="00BD042E" w:rsidRDefault="00BD042E" w:rsidP="00BD042E">
      <w:pPr>
        <w:pStyle w:val="BodyText"/>
      </w:pPr>
    </w:p>
    <w:p w14:paraId="5689F5C6" w14:textId="77777777" w:rsidR="00A232A9" w:rsidRPr="00A232A9" w:rsidRDefault="00A232A9" w:rsidP="00A232A9">
      <w:pPr>
        <w:pStyle w:val="BodyText"/>
      </w:pPr>
    </w:p>
    <w:p w14:paraId="66161EE6" w14:textId="52C53417" w:rsidR="00422549" w:rsidRDefault="00422549" w:rsidP="00422549">
      <w:pPr>
        <w:pStyle w:val="AppendixHeading1"/>
      </w:pPr>
      <w:r>
        <w:t xml:space="preserve"> </w:t>
      </w:r>
      <w:bookmarkStart w:id="35" w:name="_Toc501453672"/>
      <w:r>
        <w:t>Confidence level</w:t>
      </w:r>
      <w:r w:rsidR="00A51C4C">
        <w:t>s</w:t>
      </w:r>
      <w:r>
        <w:t xml:space="preserve"> for FUM</w:t>
      </w:r>
      <w:bookmarkEnd w:id="35"/>
      <w:r>
        <w:t xml:space="preserve"> </w:t>
      </w:r>
    </w:p>
    <w:p w14:paraId="03352346" w14:textId="3F659511" w:rsidR="00422549" w:rsidRDefault="002B2BD0" w:rsidP="00422549">
      <w:pPr>
        <w:pStyle w:val="BodyText"/>
      </w:pPr>
      <w:r>
        <w:t>The results of th</w:t>
      </w:r>
      <w:r w:rsidR="00B36CFB">
        <w:t xml:space="preserve">e process set out in Section </w:t>
      </w:r>
      <w:r w:rsidR="00B36CFB">
        <w:fldChar w:fldCharType="begin"/>
      </w:r>
      <w:r w:rsidR="00B36CFB">
        <w:instrText xml:space="preserve"> REF _Ref501005616 \r \h </w:instrText>
      </w:r>
      <w:r w:rsidR="00B36CFB">
        <w:fldChar w:fldCharType="separate"/>
      </w:r>
      <w:r w:rsidR="007E4948">
        <w:t>5.1</w:t>
      </w:r>
      <w:r w:rsidR="00B36CFB">
        <w:fldChar w:fldCharType="end"/>
      </w:r>
      <w:r>
        <w:t xml:space="preserve"> are set out below for each region</w:t>
      </w:r>
      <w:r w:rsidR="00B36CFB">
        <w:t xml:space="preserve"> except Tasmania</w:t>
      </w:r>
      <w:r>
        <w:t xml:space="preserve">. The confidence levels chosen for each forecasting </w:t>
      </w:r>
      <w:r w:rsidR="00AB49A4">
        <w:t>horizon are highlighted in yellow</w:t>
      </w:r>
      <w:r w:rsidR="008C3F9E">
        <w:t>.</w:t>
      </w:r>
    </w:p>
    <w:p w14:paraId="168D634B" w14:textId="7340F4ED" w:rsidR="00270553" w:rsidRDefault="00270553" w:rsidP="00422549">
      <w:pPr>
        <w:pStyle w:val="BodyText"/>
      </w:pPr>
      <w:r>
        <w:t>The results are present</w:t>
      </w:r>
      <w:r w:rsidR="00B36CFB">
        <w:t>ed</w:t>
      </w:r>
      <w:r>
        <w:t xml:space="preserve"> in the form of the two metrics which are used in the selection criteria (refer </w:t>
      </w:r>
      <w:r w:rsidR="00B36CFB">
        <w:t>S</w:t>
      </w:r>
      <w:r>
        <w:t>ection</w:t>
      </w:r>
      <w:r w:rsidR="00C40F8D">
        <w:t xml:space="preserve"> </w:t>
      </w:r>
      <w:r w:rsidR="00B36CFB">
        <w:fldChar w:fldCharType="begin"/>
      </w:r>
      <w:r w:rsidR="00B36CFB">
        <w:instrText xml:space="preserve"> REF _Ref501005665 \r \h </w:instrText>
      </w:r>
      <w:r w:rsidR="00B36CFB">
        <w:fldChar w:fldCharType="separate"/>
      </w:r>
      <w:r w:rsidR="007E4948">
        <w:t>5.1.2</w:t>
      </w:r>
      <w:r w:rsidR="00B36CFB">
        <w:fldChar w:fldCharType="end"/>
      </w:r>
      <w:r w:rsidR="00B36CFB">
        <w:t xml:space="preserve"> </w:t>
      </w:r>
      <w:r>
        <w:t>) namely</w:t>
      </w:r>
      <w:r w:rsidR="00B36CFB">
        <w:t>:</w:t>
      </w:r>
      <w:r>
        <w:t xml:space="preserve"> </w:t>
      </w:r>
    </w:p>
    <w:p w14:paraId="4C324BF9" w14:textId="1BB41A75" w:rsidR="00270553" w:rsidRDefault="00C40F8D" w:rsidP="0046618F">
      <w:pPr>
        <w:pStyle w:val="ListBullet"/>
      </w:pPr>
      <w:r>
        <w:t>Percentage Increase = ((A/B) -1 )*100 %</w:t>
      </w:r>
    </w:p>
    <w:p w14:paraId="0FAD1D84" w14:textId="5D4CA184" w:rsidR="00C40F8D" w:rsidRDefault="00C40F8D" w:rsidP="0046618F">
      <w:pPr>
        <w:pStyle w:val="ListBullet"/>
      </w:pPr>
      <w:r>
        <w:t xml:space="preserve">Increase in number of  TIs = A – B </w:t>
      </w:r>
    </w:p>
    <w:p w14:paraId="0ACB2741" w14:textId="010DE05B" w:rsidR="00C40F8D" w:rsidRDefault="002C2B44" w:rsidP="00C40F8D">
      <w:pPr>
        <w:pStyle w:val="BodyText"/>
      </w:pPr>
      <w:proofErr w:type="gramStart"/>
      <w:r>
        <w:t>w</w:t>
      </w:r>
      <w:r w:rsidR="00C40F8D">
        <w:t>here</w:t>
      </w:r>
      <w:proofErr w:type="gramEnd"/>
      <w:r w:rsidR="00C40F8D">
        <w:t xml:space="preserve"> </w:t>
      </w:r>
    </w:p>
    <w:p w14:paraId="55BCEADA" w14:textId="3DF09CCC" w:rsidR="00C40F8D" w:rsidRDefault="00C40F8D" w:rsidP="00C40F8D">
      <w:pPr>
        <w:pStyle w:val="BodyText"/>
      </w:pPr>
      <w:r>
        <w:t xml:space="preserve">A = Number of TIs for which </w:t>
      </w:r>
      <w:r w:rsidR="00B36CFB">
        <w:t xml:space="preserve">the </w:t>
      </w:r>
      <w:r>
        <w:t>LOR condition is forecast for FUM with given confidence level</w:t>
      </w:r>
      <w:r w:rsidR="002C2B44">
        <w:t>.</w:t>
      </w:r>
      <w:r>
        <w:t xml:space="preserve"> </w:t>
      </w:r>
    </w:p>
    <w:p w14:paraId="555FA53C" w14:textId="52BC1361" w:rsidR="00C40F8D" w:rsidRDefault="00C40F8D" w:rsidP="00C40F8D">
      <w:pPr>
        <w:pStyle w:val="BodyText"/>
      </w:pPr>
      <w:r>
        <w:t>B</w:t>
      </w:r>
      <w:r w:rsidR="002C2B44">
        <w:t xml:space="preserve"> </w:t>
      </w:r>
      <w:r>
        <w:t xml:space="preserve">= Number of TIs for which </w:t>
      </w:r>
      <w:r w:rsidR="00B36CFB">
        <w:t xml:space="preserve">the </w:t>
      </w:r>
      <w:r>
        <w:t xml:space="preserve">LOR condition is forecast for FUM set to zero for the same set of PASA Runs as used in calculating A. </w:t>
      </w:r>
    </w:p>
    <w:p w14:paraId="4E227A21" w14:textId="20C564F5" w:rsidR="00C40F8D" w:rsidRDefault="00757297" w:rsidP="00C40F8D">
      <w:pPr>
        <w:pStyle w:val="BodyText"/>
      </w:pPr>
      <w:r>
        <w:t>In the tables below for percentage increase, the term “NA” means that a value cannot be calculated because the value of B is zero.</w:t>
      </w:r>
      <w:r w:rsidR="00A60D51">
        <w:t xml:space="preserve"> </w:t>
      </w:r>
    </w:p>
    <w:p w14:paraId="21AA63DA" w14:textId="6DD6BEE3" w:rsidR="00A60D51" w:rsidRDefault="00A60D51" w:rsidP="00C40F8D">
      <w:pPr>
        <w:pStyle w:val="BodyText"/>
      </w:pPr>
      <w:r>
        <w:t xml:space="preserve">It should be noted that some of the percentage increases are very large due to very low values of B. </w:t>
      </w:r>
    </w:p>
    <w:p w14:paraId="3670CFDE" w14:textId="0C64BBA2" w:rsidR="005724F9" w:rsidRDefault="005724F9" w:rsidP="002B2BD0">
      <w:pPr>
        <w:pStyle w:val="AppendixHeading2"/>
      </w:pPr>
      <w:bookmarkStart w:id="36" w:name="_Toc501453673"/>
      <w:r>
        <w:t>New South Wales</w:t>
      </w:r>
      <w:bookmarkEnd w:id="36"/>
    </w:p>
    <w:p w14:paraId="59DC8246" w14:textId="03A95E37" w:rsidR="005724F9" w:rsidRDefault="005724F9" w:rsidP="005724F9">
      <w:pPr>
        <w:pStyle w:val="CaptionTable"/>
        <w:rPr>
          <w:lang w:eastAsia="en-AU"/>
        </w:rPr>
      </w:pPr>
      <w:bookmarkStart w:id="37" w:name="_Toc501111522"/>
      <w:r>
        <w:rPr>
          <w:lang w:eastAsia="en-AU"/>
        </w:rPr>
        <w:t>Percentage Increase in forecast  LOR2 conditions in NSW</w:t>
      </w:r>
      <w:r w:rsidR="00AB49A4">
        <w:rPr>
          <w:lang w:eastAsia="en-AU"/>
        </w:rPr>
        <w:t xml:space="preserve"> Region (</w:t>
      </w:r>
      <w:r>
        <w:rPr>
          <w:lang w:eastAsia="en-AU"/>
        </w:rPr>
        <w:t xml:space="preserve">in the </w:t>
      </w:r>
      <w:r w:rsidR="002C2B44">
        <w:rPr>
          <w:lang w:eastAsia="en-AU"/>
        </w:rPr>
        <w:t>six-</w:t>
      </w:r>
      <w:r>
        <w:rPr>
          <w:lang w:eastAsia="en-AU"/>
        </w:rPr>
        <w:t>year period)</w:t>
      </w:r>
      <w:bookmarkEnd w:id="37"/>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5724F9" w:rsidRPr="00367906" w14:paraId="691A0B8F" w14:textId="77777777" w:rsidTr="0046618F">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7B7EA220" w14:textId="77777777" w:rsidR="005724F9" w:rsidRPr="001232F0" w:rsidRDefault="005724F9"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441E98A4"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64D29E86"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7F185770"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63DF5EF1"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0B4A3C1D"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39F0E1FA"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B49A4" w:rsidRPr="001232F0" w14:paraId="0F8BD160"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73A61B0" w14:textId="77777777" w:rsidR="00AB49A4" w:rsidRPr="001232F0" w:rsidRDefault="00AB49A4"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05C276A1" w14:textId="4BAD707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E2EFDA"/>
            <w:noWrap/>
            <w:vAlign w:val="bottom"/>
          </w:tcPr>
          <w:p w14:paraId="104DC23A" w14:textId="1F75B09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E2EFDA"/>
            <w:noWrap/>
            <w:vAlign w:val="bottom"/>
          </w:tcPr>
          <w:p w14:paraId="1220E657" w14:textId="1C8499A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E2EFDA"/>
            <w:noWrap/>
            <w:vAlign w:val="bottom"/>
          </w:tcPr>
          <w:p w14:paraId="13316516" w14:textId="6245A2C0"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68FFA96C" w14:textId="1A0C2A6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266" w:type="dxa"/>
            <w:tcBorders>
              <w:top w:val="single" w:sz="8" w:space="0" w:color="auto"/>
              <w:left w:val="nil"/>
              <w:bottom w:val="single" w:sz="4" w:space="0" w:color="auto"/>
              <w:right w:val="single" w:sz="8" w:space="0" w:color="auto"/>
            </w:tcBorders>
            <w:shd w:val="clear" w:color="000000" w:fill="E2EFDA"/>
            <w:noWrap/>
            <w:vAlign w:val="bottom"/>
          </w:tcPr>
          <w:p w14:paraId="3313896C" w14:textId="05678D46"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688%</w:t>
            </w:r>
          </w:p>
        </w:tc>
      </w:tr>
      <w:tr w:rsidR="00AB49A4" w:rsidRPr="001232F0" w14:paraId="3F4C2BC3"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1EBFAE3" w14:textId="77777777" w:rsidR="00AB49A4" w:rsidRPr="001232F0" w:rsidRDefault="00AB49A4"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550493FB" w14:textId="460C1302"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200%</w:t>
            </w:r>
          </w:p>
        </w:tc>
        <w:tc>
          <w:tcPr>
            <w:tcW w:w="1043" w:type="dxa"/>
            <w:tcBorders>
              <w:top w:val="nil"/>
              <w:left w:val="nil"/>
              <w:bottom w:val="single" w:sz="4" w:space="0" w:color="auto"/>
              <w:right w:val="single" w:sz="4" w:space="0" w:color="auto"/>
            </w:tcBorders>
            <w:shd w:val="clear" w:color="000000" w:fill="E2EFDA"/>
            <w:noWrap/>
            <w:vAlign w:val="bottom"/>
          </w:tcPr>
          <w:p w14:paraId="2BADE2E6" w14:textId="78E1476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200%</w:t>
            </w:r>
          </w:p>
        </w:tc>
        <w:tc>
          <w:tcPr>
            <w:tcW w:w="1266" w:type="dxa"/>
            <w:tcBorders>
              <w:top w:val="nil"/>
              <w:left w:val="nil"/>
              <w:bottom w:val="single" w:sz="4" w:space="0" w:color="auto"/>
              <w:right w:val="single" w:sz="4" w:space="0" w:color="auto"/>
            </w:tcBorders>
            <w:shd w:val="clear" w:color="000000" w:fill="E2EFDA"/>
            <w:noWrap/>
            <w:vAlign w:val="bottom"/>
          </w:tcPr>
          <w:p w14:paraId="48E64C73" w14:textId="6FCEC44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200%</w:t>
            </w:r>
          </w:p>
        </w:tc>
        <w:tc>
          <w:tcPr>
            <w:tcW w:w="1154" w:type="dxa"/>
            <w:tcBorders>
              <w:top w:val="nil"/>
              <w:left w:val="nil"/>
              <w:bottom w:val="single" w:sz="4" w:space="0" w:color="auto"/>
              <w:right w:val="single" w:sz="4" w:space="0" w:color="auto"/>
            </w:tcBorders>
            <w:shd w:val="clear" w:color="000000" w:fill="E2EFDA"/>
            <w:noWrap/>
            <w:vAlign w:val="bottom"/>
          </w:tcPr>
          <w:p w14:paraId="460FA8C6" w14:textId="05EC1B9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250%</w:t>
            </w:r>
          </w:p>
        </w:tc>
        <w:tc>
          <w:tcPr>
            <w:tcW w:w="1154" w:type="dxa"/>
            <w:tcBorders>
              <w:top w:val="nil"/>
              <w:left w:val="nil"/>
              <w:bottom w:val="single" w:sz="4" w:space="0" w:color="auto"/>
              <w:right w:val="single" w:sz="4" w:space="0" w:color="auto"/>
            </w:tcBorders>
            <w:shd w:val="clear" w:color="000000" w:fill="FFFF00"/>
            <w:noWrap/>
            <w:vAlign w:val="bottom"/>
          </w:tcPr>
          <w:p w14:paraId="61CA9B54" w14:textId="4243CBFE"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250%</w:t>
            </w:r>
          </w:p>
        </w:tc>
        <w:tc>
          <w:tcPr>
            <w:tcW w:w="1266" w:type="dxa"/>
            <w:tcBorders>
              <w:top w:val="nil"/>
              <w:left w:val="nil"/>
              <w:bottom w:val="single" w:sz="4" w:space="0" w:color="auto"/>
              <w:right w:val="single" w:sz="8" w:space="0" w:color="auto"/>
            </w:tcBorders>
            <w:shd w:val="clear" w:color="000000" w:fill="E2EFDA"/>
            <w:noWrap/>
            <w:vAlign w:val="bottom"/>
          </w:tcPr>
          <w:p w14:paraId="34B5D8D5" w14:textId="5F8E065C"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r w:rsidR="002C2B44">
              <w:t>,</w:t>
            </w:r>
            <w:r>
              <w:t>800%</w:t>
            </w:r>
          </w:p>
        </w:tc>
      </w:tr>
      <w:tr w:rsidR="00AB49A4" w:rsidRPr="001232F0" w14:paraId="62D5C7A3"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379D25" w14:textId="77777777" w:rsidR="00AB49A4" w:rsidRPr="001232F0" w:rsidRDefault="00AB49A4"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38949552" w14:textId="4CA9BA1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150%</w:t>
            </w:r>
          </w:p>
        </w:tc>
        <w:tc>
          <w:tcPr>
            <w:tcW w:w="1043" w:type="dxa"/>
            <w:tcBorders>
              <w:top w:val="nil"/>
              <w:left w:val="nil"/>
              <w:bottom w:val="single" w:sz="4" w:space="0" w:color="auto"/>
              <w:right w:val="single" w:sz="4" w:space="0" w:color="auto"/>
            </w:tcBorders>
            <w:shd w:val="clear" w:color="000000" w:fill="E2EFDA"/>
            <w:noWrap/>
            <w:vAlign w:val="bottom"/>
          </w:tcPr>
          <w:p w14:paraId="37312E73" w14:textId="39D2F65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267%</w:t>
            </w:r>
          </w:p>
        </w:tc>
        <w:tc>
          <w:tcPr>
            <w:tcW w:w="1266" w:type="dxa"/>
            <w:tcBorders>
              <w:top w:val="nil"/>
              <w:left w:val="nil"/>
              <w:bottom w:val="single" w:sz="4" w:space="0" w:color="auto"/>
              <w:right w:val="single" w:sz="4" w:space="0" w:color="auto"/>
            </w:tcBorders>
            <w:shd w:val="clear" w:color="000000" w:fill="E2EFDA"/>
            <w:noWrap/>
            <w:vAlign w:val="bottom"/>
          </w:tcPr>
          <w:p w14:paraId="74CFCC70" w14:textId="024F155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100%</w:t>
            </w:r>
          </w:p>
        </w:tc>
        <w:tc>
          <w:tcPr>
            <w:tcW w:w="1154" w:type="dxa"/>
            <w:tcBorders>
              <w:top w:val="nil"/>
              <w:left w:val="nil"/>
              <w:bottom w:val="single" w:sz="4" w:space="0" w:color="auto"/>
              <w:right w:val="single" w:sz="4" w:space="0" w:color="auto"/>
            </w:tcBorders>
            <w:shd w:val="clear" w:color="000000" w:fill="E2EFDA"/>
            <w:noWrap/>
            <w:vAlign w:val="bottom"/>
          </w:tcPr>
          <w:p w14:paraId="62E2DCA5" w14:textId="15183E30"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100%</w:t>
            </w:r>
          </w:p>
        </w:tc>
        <w:tc>
          <w:tcPr>
            <w:tcW w:w="1154" w:type="dxa"/>
            <w:tcBorders>
              <w:top w:val="nil"/>
              <w:left w:val="nil"/>
              <w:bottom w:val="single" w:sz="4" w:space="0" w:color="auto"/>
              <w:right w:val="single" w:sz="4" w:space="0" w:color="auto"/>
            </w:tcBorders>
            <w:shd w:val="clear" w:color="000000" w:fill="FFFF00"/>
            <w:noWrap/>
            <w:vAlign w:val="bottom"/>
          </w:tcPr>
          <w:p w14:paraId="34379ECD" w14:textId="1E55361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100%</w:t>
            </w:r>
          </w:p>
        </w:tc>
        <w:tc>
          <w:tcPr>
            <w:tcW w:w="1266" w:type="dxa"/>
            <w:tcBorders>
              <w:top w:val="nil"/>
              <w:left w:val="nil"/>
              <w:bottom w:val="single" w:sz="4" w:space="0" w:color="auto"/>
              <w:right w:val="single" w:sz="8" w:space="0" w:color="auto"/>
            </w:tcBorders>
            <w:shd w:val="clear" w:color="000000" w:fill="E2EFDA"/>
            <w:noWrap/>
            <w:vAlign w:val="bottom"/>
          </w:tcPr>
          <w:p w14:paraId="54D3F7C9" w14:textId="6696EA8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2C2B44">
              <w:t>,</w:t>
            </w:r>
            <w:r>
              <w:t>920%</w:t>
            </w:r>
          </w:p>
        </w:tc>
      </w:tr>
      <w:tr w:rsidR="00AB49A4" w:rsidRPr="001232F0" w14:paraId="317B7C69"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E58AE74" w14:textId="77777777" w:rsidR="00AB49A4" w:rsidRPr="001232F0" w:rsidRDefault="00AB49A4"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6B2963BE" w14:textId="78D0501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267%</w:t>
            </w:r>
          </w:p>
        </w:tc>
        <w:tc>
          <w:tcPr>
            <w:tcW w:w="1043" w:type="dxa"/>
            <w:tcBorders>
              <w:top w:val="nil"/>
              <w:left w:val="nil"/>
              <w:bottom w:val="single" w:sz="4" w:space="0" w:color="auto"/>
              <w:right w:val="single" w:sz="4" w:space="0" w:color="auto"/>
            </w:tcBorders>
            <w:shd w:val="clear" w:color="000000" w:fill="E2EFDA"/>
            <w:noWrap/>
            <w:vAlign w:val="bottom"/>
          </w:tcPr>
          <w:p w14:paraId="2DE4546E" w14:textId="0DB07D1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500%</w:t>
            </w:r>
          </w:p>
        </w:tc>
        <w:tc>
          <w:tcPr>
            <w:tcW w:w="1266" w:type="dxa"/>
            <w:tcBorders>
              <w:top w:val="nil"/>
              <w:left w:val="nil"/>
              <w:bottom w:val="single" w:sz="4" w:space="0" w:color="auto"/>
              <w:right w:val="single" w:sz="4" w:space="0" w:color="auto"/>
            </w:tcBorders>
            <w:shd w:val="clear" w:color="000000" w:fill="E2EFDA"/>
            <w:noWrap/>
            <w:vAlign w:val="bottom"/>
          </w:tcPr>
          <w:p w14:paraId="2B87C2B9" w14:textId="00AB8E7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500%</w:t>
            </w:r>
          </w:p>
        </w:tc>
        <w:tc>
          <w:tcPr>
            <w:tcW w:w="1154" w:type="dxa"/>
            <w:tcBorders>
              <w:top w:val="nil"/>
              <w:left w:val="nil"/>
              <w:bottom w:val="single" w:sz="4" w:space="0" w:color="auto"/>
              <w:right w:val="single" w:sz="4" w:space="0" w:color="auto"/>
            </w:tcBorders>
            <w:shd w:val="clear" w:color="000000" w:fill="E2EFDA"/>
            <w:noWrap/>
            <w:vAlign w:val="bottom"/>
          </w:tcPr>
          <w:p w14:paraId="124606FB" w14:textId="79BBD8C2"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500%</w:t>
            </w:r>
          </w:p>
        </w:tc>
        <w:tc>
          <w:tcPr>
            <w:tcW w:w="1154" w:type="dxa"/>
            <w:tcBorders>
              <w:top w:val="nil"/>
              <w:left w:val="nil"/>
              <w:bottom w:val="single" w:sz="4" w:space="0" w:color="auto"/>
              <w:right w:val="single" w:sz="4" w:space="0" w:color="auto"/>
            </w:tcBorders>
            <w:shd w:val="clear" w:color="000000" w:fill="FFFF00"/>
            <w:noWrap/>
            <w:vAlign w:val="bottom"/>
          </w:tcPr>
          <w:p w14:paraId="23868182" w14:textId="22B40B19"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500%</w:t>
            </w:r>
          </w:p>
        </w:tc>
        <w:tc>
          <w:tcPr>
            <w:tcW w:w="1266" w:type="dxa"/>
            <w:tcBorders>
              <w:top w:val="nil"/>
              <w:left w:val="nil"/>
              <w:bottom w:val="single" w:sz="4" w:space="0" w:color="auto"/>
              <w:right w:val="single" w:sz="8" w:space="0" w:color="auto"/>
            </w:tcBorders>
            <w:shd w:val="clear" w:color="000000" w:fill="E2EFDA"/>
            <w:noWrap/>
            <w:vAlign w:val="bottom"/>
          </w:tcPr>
          <w:p w14:paraId="7A232626" w14:textId="46AF7D6E"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r w:rsidR="002C2B44">
              <w:t>,</w:t>
            </w:r>
            <w:r>
              <w:t>475%</w:t>
            </w:r>
          </w:p>
        </w:tc>
      </w:tr>
      <w:tr w:rsidR="00AB49A4" w:rsidRPr="001232F0" w14:paraId="390E8C4F"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60A4AE" w14:textId="77777777" w:rsidR="00AB49A4" w:rsidRPr="001232F0" w:rsidRDefault="00AB49A4"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3B9A8D90" w14:textId="7DFE7A5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357%</w:t>
            </w:r>
          </w:p>
        </w:tc>
        <w:tc>
          <w:tcPr>
            <w:tcW w:w="1043" w:type="dxa"/>
            <w:tcBorders>
              <w:top w:val="nil"/>
              <w:left w:val="nil"/>
              <w:bottom w:val="single" w:sz="4" w:space="0" w:color="auto"/>
              <w:right w:val="single" w:sz="4" w:space="0" w:color="auto"/>
            </w:tcBorders>
            <w:shd w:val="clear" w:color="000000" w:fill="FFFF00"/>
            <w:noWrap/>
            <w:vAlign w:val="bottom"/>
          </w:tcPr>
          <w:p w14:paraId="3335ABCC" w14:textId="06F5B29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514%</w:t>
            </w:r>
          </w:p>
        </w:tc>
        <w:tc>
          <w:tcPr>
            <w:tcW w:w="1266" w:type="dxa"/>
            <w:tcBorders>
              <w:top w:val="nil"/>
              <w:left w:val="nil"/>
              <w:bottom w:val="single" w:sz="4" w:space="0" w:color="auto"/>
              <w:right w:val="single" w:sz="4" w:space="0" w:color="auto"/>
            </w:tcBorders>
            <w:shd w:val="clear" w:color="000000" w:fill="E2EFDA"/>
            <w:noWrap/>
            <w:vAlign w:val="bottom"/>
          </w:tcPr>
          <w:p w14:paraId="2D0C8CD3" w14:textId="4A5E5F0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813%</w:t>
            </w:r>
          </w:p>
        </w:tc>
        <w:tc>
          <w:tcPr>
            <w:tcW w:w="1154" w:type="dxa"/>
            <w:tcBorders>
              <w:top w:val="nil"/>
              <w:left w:val="nil"/>
              <w:bottom w:val="single" w:sz="4" w:space="0" w:color="auto"/>
              <w:right w:val="single" w:sz="4" w:space="0" w:color="auto"/>
            </w:tcBorders>
            <w:shd w:val="clear" w:color="000000" w:fill="E2EFDA"/>
            <w:noWrap/>
            <w:vAlign w:val="bottom"/>
          </w:tcPr>
          <w:p w14:paraId="55833AB7" w14:textId="638F9BA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853%</w:t>
            </w:r>
          </w:p>
        </w:tc>
        <w:tc>
          <w:tcPr>
            <w:tcW w:w="1154" w:type="dxa"/>
            <w:tcBorders>
              <w:top w:val="nil"/>
              <w:left w:val="nil"/>
              <w:bottom w:val="single" w:sz="4" w:space="0" w:color="auto"/>
              <w:right w:val="single" w:sz="4" w:space="0" w:color="auto"/>
            </w:tcBorders>
            <w:shd w:val="clear" w:color="000000" w:fill="E2EFDA"/>
            <w:noWrap/>
            <w:vAlign w:val="bottom"/>
          </w:tcPr>
          <w:p w14:paraId="267063EF" w14:textId="622C005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853%</w:t>
            </w:r>
          </w:p>
        </w:tc>
        <w:tc>
          <w:tcPr>
            <w:tcW w:w="1266" w:type="dxa"/>
            <w:tcBorders>
              <w:top w:val="nil"/>
              <w:left w:val="nil"/>
              <w:bottom w:val="single" w:sz="4" w:space="0" w:color="auto"/>
              <w:right w:val="single" w:sz="8" w:space="0" w:color="auto"/>
            </w:tcBorders>
            <w:shd w:val="clear" w:color="000000" w:fill="E2EFDA"/>
            <w:noWrap/>
            <w:vAlign w:val="bottom"/>
          </w:tcPr>
          <w:p w14:paraId="40B69F6A" w14:textId="556BB6A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r w:rsidR="002C2B44">
              <w:t>,</w:t>
            </w:r>
            <w:r>
              <w:t>354%</w:t>
            </w:r>
          </w:p>
        </w:tc>
      </w:tr>
      <w:tr w:rsidR="00AB49A4" w:rsidRPr="001232F0" w14:paraId="0E672E21"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E2994A1" w14:textId="77777777" w:rsidR="00AB49A4" w:rsidRPr="001232F0" w:rsidRDefault="00AB49A4"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1C37CDD7" w14:textId="03F4E24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043" w:type="dxa"/>
            <w:tcBorders>
              <w:top w:val="nil"/>
              <w:left w:val="nil"/>
              <w:bottom w:val="single" w:sz="4" w:space="0" w:color="auto"/>
              <w:right w:val="single" w:sz="4" w:space="0" w:color="auto"/>
            </w:tcBorders>
            <w:shd w:val="clear" w:color="000000" w:fill="FFFF00"/>
            <w:noWrap/>
            <w:vAlign w:val="bottom"/>
          </w:tcPr>
          <w:p w14:paraId="23E07392" w14:textId="5CB3DBD7"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r w:rsidR="002C2B44">
              <w:t>,</w:t>
            </w:r>
            <w:r>
              <w:t>200%</w:t>
            </w:r>
          </w:p>
        </w:tc>
        <w:tc>
          <w:tcPr>
            <w:tcW w:w="1266" w:type="dxa"/>
            <w:tcBorders>
              <w:top w:val="nil"/>
              <w:left w:val="nil"/>
              <w:bottom w:val="single" w:sz="4" w:space="0" w:color="auto"/>
              <w:right w:val="single" w:sz="4" w:space="0" w:color="auto"/>
            </w:tcBorders>
            <w:shd w:val="clear" w:color="000000" w:fill="E2EFDA"/>
            <w:noWrap/>
            <w:vAlign w:val="bottom"/>
          </w:tcPr>
          <w:p w14:paraId="74BE5FEF" w14:textId="25D0F78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r w:rsidR="002C2B44">
              <w:t>,</w:t>
            </w:r>
            <w:r>
              <w:t>400%</w:t>
            </w:r>
          </w:p>
        </w:tc>
        <w:tc>
          <w:tcPr>
            <w:tcW w:w="1154" w:type="dxa"/>
            <w:tcBorders>
              <w:top w:val="nil"/>
              <w:left w:val="nil"/>
              <w:bottom w:val="single" w:sz="4" w:space="0" w:color="auto"/>
              <w:right w:val="single" w:sz="4" w:space="0" w:color="auto"/>
            </w:tcBorders>
            <w:shd w:val="clear" w:color="000000" w:fill="E2EFDA"/>
            <w:noWrap/>
            <w:vAlign w:val="bottom"/>
          </w:tcPr>
          <w:p w14:paraId="467340FF" w14:textId="5B429EBF"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r w:rsidR="002C2B44">
              <w:t>,</w:t>
            </w:r>
            <w:r>
              <w:t>500%</w:t>
            </w:r>
          </w:p>
        </w:tc>
        <w:tc>
          <w:tcPr>
            <w:tcW w:w="1154" w:type="dxa"/>
            <w:tcBorders>
              <w:top w:val="nil"/>
              <w:left w:val="nil"/>
              <w:bottom w:val="single" w:sz="4" w:space="0" w:color="auto"/>
              <w:right w:val="single" w:sz="4" w:space="0" w:color="auto"/>
            </w:tcBorders>
            <w:shd w:val="clear" w:color="000000" w:fill="E2EFDA"/>
            <w:noWrap/>
            <w:vAlign w:val="bottom"/>
          </w:tcPr>
          <w:p w14:paraId="4E914323" w14:textId="16052CA2"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r w:rsidR="002C2B44">
              <w:t>,</w:t>
            </w:r>
            <w:r>
              <w:t>900%</w:t>
            </w:r>
          </w:p>
        </w:tc>
        <w:tc>
          <w:tcPr>
            <w:tcW w:w="1266" w:type="dxa"/>
            <w:tcBorders>
              <w:top w:val="nil"/>
              <w:left w:val="nil"/>
              <w:bottom w:val="single" w:sz="4" w:space="0" w:color="auto"/>
              <w:right w:val="single" w:sz="8" w:space="0" w:color="auto"/>
            </w:tcBorders>
            <w:shd w:val="clear" w:color="000000" w:fill="E2EFDA"/>
            <w:noWrap/>
            <w:vAlign w:val="bottom"/>
          </w:tcPr>
          <w:p w14:paraId="35C98103" w14:textId="204A3E3E"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12</w:t>
            </w:r>
            <w:r w:rsidR="002C2B44">
              <w:t>,</w:t>
            </w:r>
            <w:r>
              <w:t>200%</w:t>
            </w:r>
          </w:p>
        </w:tc>
      </w:tr>
      <w:tr w:rsidR="00AB49A4" w:rsidRPr="001232F0" w14:paraId="425D37C8"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76159E4" w14:textId="77777777" w:rsidR="00AB49A4" w:rsidRPr="001232F0" w:rsidRDefault="00AB49A4"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E2EFDA"/>
            <w:noWrap/>
            <w:vAlign w:val="bottom"/>
          </w:tcPr>
          <w:p w14:paraId="5CC2589E" w14:textId="7CBA884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c>
          <w:tcPr>
            <w:tcW w:w="1043" w:type="dxa"/>
            <w:tcBorders>
              <w:top w:val="nil"/>
              <w:left w:val="nil"/>
              <w:bottom w:val="single" w:sz="8" w:space="0" w:color="auto"/>
              <w:right w:val="single" w:sz="4" w:space="0" w:color="auto"/>
            </w:tcBorders>
            <w:shd w:val="clear" w:color="000000" w:fill="FFFF00"/>
            <w:noWrap/>
            <w:vAlign w:val="bottom"/>
          </w:tcPr>
          <w:p w14:paraId="26CE889B" w14:textId="2E7FBD5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c>
          <w:tcPr>
            <w:tcW w:w="1266" w:type="dxa"/>
            <w:tcBorders>
              <w:top w:val="nil"/>
              <w:left w:val="nil"/>
              <w:bottom w:val="single" w:sz="8" w:space="0" w:color="auto"/>
              <w:right w:val="single" w:sz="4" w:space="0" w:color="auto"/>
            </w:tcBorders>
            <w:shd w:val="clear" w:color="000000" w:fill="E2EFDA"/>
            <w:noWrap/>
            <w:vAlign w:val="bottom"/>
          </w:tcPr>
          <w:p w14:paraId="5C5B68AA" w14:textId="24F69EEF"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c>
          <w:tcPr>
            <w:tcW w:w="1154" w:type="dxa"/>
            <w:tcBorders>
              <w:top w:val="nil"/>
              <w:left w:val="nil"/>
              <w:bottom w:val="single" w:sz="8" w:space="0" w:color="auto"/>
              <w:right w:val="single" w:sz="4" w:space="0" w:color="auto"/>
            </w:tcBorders>
            <w:shd w:val="clear" w:color="000000" w:fill="E2EFDA"/>
            <w:noWrap/>
            <w:vAlign w:val="bottom"/>
          </w:tcPr>
          <w:p w14:paraId="39CB311A" w14:textId="2BC6048F"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c>
          <w:tcPr>
            <w:tcW w:w="1154" w:type="dxa"/>
            <w:tcBorders>
              <w:top w:val="nil"/>
              <w:left w:val="nil"/>
              <w:bottom w:val="single" w:sz="8" w:space="0" w:color="auto"/>
              <w:right w:val="single" w:sz="4" w:space="0" w:color="auto"/>
            </w:tcBorders>
            <w:shd w:val="clear" w:color="000000" w:fill="E2EFDA"/>
            <w:noWrap/>
            <w:vAlign w:val="bottom"/>
          </w:tcPr>
          <w:p w14:paraId="43278923" w14:textId="13B0BE7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c>
          <w:tcPr>
            <w:tcW w:w="1266" w:type="dxa"/>
            <w:tcBorders>
              <w:top w:val="nil"/>
              <w:left w:val="nil"/>
              <w:bottom w:val="single" w:sz="8" w:space="0" w:color="auto"/>
              <w:right w:val="single" w:sz="8" w:space="0" w:color="auto"/>
            </w:tcBorders>
            <w:shd w:val="clear" w:color="000000" w:fill="E2EFDA"/>
            <w:noWrap/>
            <w:vAlign w:val="bottom"/>
          </w:tcPr>
          <w:p w14:paraId="5EC4E39F" w14:textId="13B91E2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NA</w:t>
            </w:r>
          </w:p>
        </w:tc>
      </w:tr>
    </w:tbl>
    <w:p w14:paraId="1CDD0170" w14:textId="77777777" w:rsidR="002C2B44" w:rsidRDefault="002C2B44" w:rsidP="0046618F">
      <w:pPr>
        <w:pStyle w:val="TableFootnote"/>
        <w:rPr>
          <w:lang w:eastAsia="en-AU"/>
        </w:rPr>
      </w:pPr>
    </w:p>
    <w:p w14:paraId="0D31D883" w14:textId="3F571CA6" w:rsidR="005724F9" w:rsidRDefault="005724F9" w:rsidP="005724F9">
      <w:pPr>
        <w:pStyle w:val="CaptionTable"/>
        <w:rPr>
          <w:lang w:eastAsia="en-AU"/>
        </w:rPr>
      </w:pPr>
      <w:bookmarkStart w:id="38" w:name="_Toc501111523"/>
      <w:r>
        <w:rPr>
          <w:lang w:eastAsia="en-AU"/>
        </w:rPr>
        <w:t xml:space="preserve">Increase in number TIs with forecast  LOR2 conditions in NSW Region (in the </w:t>
      </w:r>
      <w:r w:rsidR="002C2B44">
        <w:rPr>
          <w:lang w:eastAsia="en-AU"/>
        </w:rPr>
        <w:t>six-</w:t>
      </w:r>
      <w:r>
        <w:rPr>
          <w:lang w:eastAsia="en-AU"/>
        </w:rPr>
        <w:t>year period)</w:t>
      </w:r>
      <w:bookmarkEnd w:id="38"/>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5724F9" w:rsidRPr="00367906" w14:paraId="0F3F1D94" w14:textId="77777777" w:rsidTr="0046618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4C4BDFCC" w14:textId="77777777" w:rsidR="005724F9" w:rsidRPr="001232F0" w:rsidRDefault="005724F9"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15D57685"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393084E3"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1566D7A0"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256AE2D4"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108CA05B"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7DF08584" w14:textId="77777777" w:rsidR="005724F9" w:rsidRPr="001232F0" w:rsidRDefault="005724F9"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683982" w:rsidRPr="001232F0" w14:paraId="7AAA1063"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35E7DBA" w14:textId="77777777" w:rsidR="00AB49A4" w:rsidRPr="001232F0" w:rsidRDefault="00AB49A4" w:rsidP="0046618F">
            <w:pPr>
              <w:pStyle w:val="TableNumber"/>
              <w:rPr>
                <w:lang w:eastAsia="en-AU"/>
              </w:rPr>
            </w:pPr>
            <w:r w:rsidRPr="001232F0">
              <w:rPr>
                <w:lang w:eastAsia="en-AU"/>
              </w:rPr>
              <w:t>2</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5B09FC92" w14:textId="665E6EF9"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292B4921" w14:textId="1D03BA7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CA13387" w14:textId="29D3C95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4F42B941" w14:textId="79DE95C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4DC9CC27" w14:textId="172A9FA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8" w:space="0" w:color="auto"/>
            </w:tcBorders>
            <w:shd w:val="clear" w:color="000000" w:fill="E2EFDA"/>
            <w:noWrap/>
            <w:vAlign w:val="bottom"/>
          </w:tcPr>
          <w:p w14:paraId="51A9D054" w14:textId="5FCE85F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117</w:t>
            </w:r>
          </w:p>
        </w:tc>
      </w:tr>
      <w:tr w:rsidR="00683982" w:rsidRPr="001232F0" w14:paraId="058CDE65"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43990D" w14:textId="77777777" w:rsidR="00AB49A4" w:rsidRPr="001232F0" w:rsidRDefault="00AB49A4"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615387EC" w14:textId="5375F9E5"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134" w:type="dxa"/>
            <w:tcBorders>
              <w:top w:val="nil"/>
              <w:left w:val="nil"/>
              <w:bottom w:val="single" w:sz="4" w:space="0" w:color="auto"/>
              <w:right w:val="single" w:sz="4" w:space="0" w:color="auto"/>
            </w:tcBorders>
            <w:shd w:val="clear" w:color="000000" w:fill="E2EFDA"/>
            <w:noWrap/>
            <w:vAlign w:val="bottom"/>
          </w:tcPr>
          <w:p w14:paraId="5C9260C5" w14:textId="639D9DD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134" w:type="dxa"/>
            <w:tcBorders>
              <w:top w:val="nil"/>
              <w:left w:val="nil"/>
              <w:bottom w:val="single" w:sz="4" w:space="0" w:color="auto"/>
              <w:right w:val="single" w:sz="4" w:space="0" w:color="auto"/>
            </w:tcBorders>
            <w:shd w:val="clear" w:color="000000" w:fill="E2EFDA"/>
            <w:noWrap/>
            <w:vAlign w:val="bottom"/>
          </w:tcPr>
          <w:p w14:paraId="76973EF4" w14:textId="7554A60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276" w:type="dxa"/>
            <w:tcBorders>
              <w:top w:val="nil"/>
              <w:left w:val="nil"/>
              <w:bottom w:val="single" w:sz="4" w:space="0" w:color="auto"/>
              <w:right w:val="single" w:sz="4" w:space="0" w:color="auto"/>
            </w:tcBorders>
            <w:shd w:val="clear" w:color="000000" w:fill="E2EFDA"/>
            <w:noWrap/>
            <w:vAlign w:val="bottom"/>
          </w:tcPr>
          <w:p w14:paraId="23570B3B" w14:textId="0C443408"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p>
        </w:tc>
        <w:tc>
          <w:tcPr>
            <w:tcW w:w="1276" w:type="dxa"/>
            <w:tcBorders>
              <w:top w:val="nil"/>
              <w:left w:val="nil"/>
              <w:bottom w:val="single" w:sz="4" w:space="0" w:color="auto"/>
              <w:right w:val="single" w:sz="4" w:space="0" w:color="auto"/>
            </w:tcBorders>
            <w:shd w:val="clear" w:color="000000" w:fill="FFFF00"/>
            <w:noWrap/>
            <w:vAlign w:val="bottom"/>
          </w:tcPr>
          <w:p w14:paraId="5D56A22F" w14:textId="45A1D5C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p>
        </w:tc>
        <w:tc>
          <w:tcPr>
            <w:tcW w:w="1134" w:type="dxa"/>
            <w:tcBorders>
              <w:top w:val="nil"/>
              <w:left w:val="nil"/>
              <w:bottom w:val="single" w:sz="4" w:space="0" w:color="auto"/>
              <w:right w:val="single" w:sz="8" w:space="0" w:color="auto"/>
            </w:tcBorders>
            <w:shd w:val="clear" w:color="000000" w:fill="E2EFDA"/>
            <w:noWrap/>
            <w:vAlign w:val="bottom"/>
          </w:tcPr>
          <w:p w14:paraId="5F98D76A" w14:textId="512EF285"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168</w:t>
            </w:r>
          </w:p>
        </w:tc>
      </w:tr>
      <w:tr w:rsidR="00683982" w:rsidRPr="001232F0" w14:paraId="58618C43"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83C76DA" w14:textId="77777777" w:rsidR="00AB49A4" w:rsidRPr="001232F0" w:rsidRDefault="00AB49A4"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12A8387A" w14:textId="46D2C9F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w:t>
            </w:r>
          </w:p>
        </w:tc>
        <w:tc>
          <w:tcPr>
            <w:tcW w:w="1134" w:type="dxa"/>
            <w:tcBorders>
              <w:top w:val="nil"/>
              <w:left w:val="nil"/>
              <w:bottom w:val="single" w:sz="4" w:space="0" w:color="auto"/>
              <w:right w:val="single" w:sz="4" w:space="0" w:color="auto"/>
            </w:tcBorders>
            <w:shd w:val="clear" w:color="000000" w:fill="E2EFDA"/>
            <w:noWrap/>
            <w:vAlign w:val="bottom"/>
          </w:tcPr>
          <w:p w14:paraId="5A8B6B66" w14:textId="2B7BBDA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134" w:type="dxa"/>
            <w:tcBorders>
              <w:top w:val="nil"/>
              <w:left w:val="nil"/>
              <w:bottom w:val="single" w:sz="4" w:space="0" w:color="auto"/>
              <w:right w:val="single" w:sz="4" w:space="0" w:color="auto"/>
            </w:tcBorders>
            <w:shd w:val="clear" w:color="000000" w:fill="E2EFDA"/>
            <w:noWrap/>
            <w:vAlign w:val="bottom"/>
          </w:tcPr>
          <w:p w14:paraId="31A4020B" w14:textId="0C5C617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276" w:type="dxa"/>
            <w:tcBorders>
              <w:top w:val="nil"/>
              <w:left w:val="nil"/>
              <w:bottom w:val="single" w:sz="4" w:space="0" w:color="auto"/>
              <w:right w:val="single" w:sz="4" w:space="0" w:color="auto"/>
            </w:tcBorders>
            <w:shd w:val="clear" w:color="000000" w:fill="E2EFDA"/>
            <w:noWrap/>
            <w:vAlign w:val="bottom"/>
          </w:tcPr>
          <w:p w14:paraId="7BEF3F9A" w14:textId="34A2BA1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276" w:type="dxa"/>
            <w:tcBorders>
              <w:top w:val="nil"/>
              <w:left w:val="nil"/>
              <w:bottom w:val="single" w:sz="4" w:space="0" w:color="auto"/>
              <w:right w:val="single" w:sz="4" w:space="0" w:color="auto"/>
            </w:tcBorders>
            <w:shd w:val="clear" w:color="000000" w:fill="FFFF00"/>
            <w:noWrap/>
            <w:vAlign w:val="bottom"/>
          </w:tcPr>
          <w:p w14:paraId="2467EE75" w14:textId="78E7A03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134" w:type="dxa"/>
            <w:tcBorders>
              <w:top w:val="nil"/>
              <w:left w:val="nil"/>
              <w:bottom w:val="single" w:sz="4" w:space="0" w:color="auto"/>
              <w:right w:val="single" w:sz="8" w:space="0" w:color="auto"/>
            </w:tcBorders>
            <w:shd w:val="clear" w:color="000000" w:fill="E2EFDA"/>
            <w:noWrap/>
            <w:vAlign w:val="bottom"/>
          </w:tcPr>
          <w:p w14:paraId="4233CD8E" w14:textId="56A5CA80"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192</w:t>
            </w:r>
          </w:p>
        </w:tc>
      </w:tr>
      <w:tr w:rsidR="00683982" w:rsidRPr="001232F0" w14:paraId="4408332F"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14ED1B7" w14:textId="77777777" w:rsidR="00AB49A4" w:rsidRPr="001232F0" w:rsidRDefault="00AB49A4"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37D0181F" w14:textId="5B657B56"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134" w:type="dxa"/>
            <w:tcBorders>
              <w:top w:val="nil"/>
              <w:left w:val="nil"/>
              <w:bottom w:val="single" w:sz="4" w:space="0" w:color="auto"/>
              <w:right w:val="single" w:sz="4" w:space="0" w:color="auto"/>
            </w:tcBorders>
            <w:shd w:val="clear" w:color="000000" w:fill="E2EFDA"/>
            <w:noWrap/>
            <w:vAlign w:val="bottom"/>
          </w:tcPr>
          <w:p w14:paraId="453A3168" w14:textId="3B1EFA57"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w:t>
            </w:r>
          </w:p>
        </w:tc>
        <w:tc>
          <w:tcPr>
            <w:tcW w:w="1134" w:type="dxa"/>
            <w:tcBorders>
              <w:top w:val="nil"/>
              <w:left w:val="nil"/>
              <w:bottom w:val="single" w:sz="4" w:space="0" w:color="auto"/>
              <w:right w:val="single" w:sz="4" w:space="0" w:color="auto"/>
            </w:tcBorders>
            <w:shd w:val="clear" w:color="000000" w:fill="E2EFDA"/>
            <w:noWrap/>
            <w:vAlign w:val="bottom"/>
          </w:tcPr>
          <w:p w14:paraId="64863BF2" w14:textId="1C943726"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w:t>
            </w:r>
          </w:p>
        </w:tc>
        <w:tc>
          <w:tcPr>
            <w:tcW w:w="1276" w:type="dxa"/>
            <w:tcBorders>
              <w:top w:val="nil"/>
              <w:left w:val="nil"/>
              <w:bottom w:val="single" w:sz="4" w:space="0" w:color="auto"/>
              <w:right w:val="single" w:sz="4" w:space="0" w:color="auto"/>
            </w:tcBorders>
            <w:shd w:val="clear" w:color="000000" w:fill="E2EFDA"/>
            <w:noWrap/>
            <w:vAlign w:val="bottom"/>
          </w:tcPr>
          <w:p w14:paraId="0CB6929A" w14:textId="1142E16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w:t>
            </w:r>
          </w:p>
        </w:tc>
        <w:tc>
          <w:tcPr>
            <w:tcW w:w="1276" w:type="dxa"/>
            <w:tcBorders>
              <w:top w:val="nil"/>
              <w:left w:val="nil"/>
              <w:bottom w:val="single" w:sz="4" w:space="0" w:color="auto"/>
              <w:right w:val="single" w:sz="4" w:space="0" w:color="auto"/>
            </w:tcBorders>
            <w:shd w:val="clear" w:color="000000" w:fill="FFFF00"/>
            <w:noWrap/>
            <w:vAlign w:val="bottom"/>
          </w:tcPr>
          <w:p w14:paraId="5322CFB2" w14:textId="6054C428"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w:t>
            </w:r>
          </w:p>
        </w:tc>
        <w:tc>
          <w:tcPr>
            <w:tcW w:w="1134" w:type="dxa"/>
            <w:tcBorders>
              <w:top w:val="nil"/>
              <w:left w:val="nil"/>
              <w:bottom w:val="single" w:sz="4" w:space="0" w:color="auto"/>
              <w:right w:val="single" w:sz="8" w:space="0" w:color="auto"/>
            </w:tcBorders>
            <w:shd w:val="clear" w:color="000000" w:fill="E2EFDA"/>
            <w:noWrap/>
            <w:vAlign w:val="bottom"/>
          </w:tcPr>
          <w:p w14:paraId="7986D0E1" w14:textId="32FD0AE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278</w:t>
            </w:r>
          </w:p>
        </w:tc>
      </w:tr>
      <w:tr w:rsidR="00683982" w:rsidRPr="001232F0" w14:paraId="25F7E636"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9A07E33" w14:textId="77777777" w:rsidR="00AB49A4" w:rsidRPr="001232F0" w:rsidRDefault="00AB49A4"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6D16221F" w14:textId="3F16828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25</w:t>
            </w:r>
          </w:p>
        </w:tc>
        <w:tc>
          <w:tcPr>
            <w:tcW w:w="1134" w:type="dxa"/>
            <w:tcBorders>
              <w:top w:val="nil"/>
              <w:left w:val="nil"/>
              <w:bottom w:val="single" w:sz="4" w:space="0" w:color="auto"/>
              <w:right w:val="single" w:sz="4" w:space="0" w:color="auto"/>
            </w:tcBorders>
            <w:shd w:val="clear" w:color="000000" w:fill="FFFF00"/>
            <w:noWrap/>
            <w:vAlign w:val="bottom"/>
          </w:tcPr>
          <w:p w14:paraId="0527F6ED" w14:textId="00786C5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36</w:t>
            </w:r>
          </w:p>
        </w:tc>
        <w:tc>
          <w:tcPr>
            <w:tcW w:w="1134" w:type="dxa"/>
            <w:tcBorders>
              <w:top w:val="nil"/>
              <w:left w:val="nil"/>
              <w:bottom w:val="single" w:sz="4" w:space="0" w:color="auto"/>
              <w:right w:val="single" w:sz="4" w:space="0" w:color="auto"/>
            </w:tcBorders>
            <w:shd w:val="clear" w:color="000000" w:fill="E2EFDA"/>
            <w:noWrap/>
            <w:vAlign w:val="bottom"/>
          </w:tcPr>
          <w:p w14:paraId="693898B8" w14:textId="7D41F996"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65</w:t>
            </w:r>
          </w:p>
        </w:tc>
        <w:tc>
          <w:tcPr>
            <w:tcW w:w="1276" w:type="dxa"/>
            <w:tcBorders>
              <w:top w:val="nil"/>
              <w:left w:val="nil"/>
              <w:bottom w:val="single" w:sz="4" w:space="0" w:color="auto"/>
              <w:right w:val="single" w:sz="4" w:space="0" w:color="auto"/>
            </w:tcBorders>
            <w:shd w:val="clear" w:color="000000" w:fill="E2EFDA"/>
            <w:noWrap/>
            <w:vAlign w:val="bottom"/>
          </w:tcPr>
          <w:p w14:paraId="3B47B4A5" w14:textId="11704E60"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128</w:t>
            </w:r>
          </w:p>
        </w:tc>
        <w:tc>
          <w:tcPr>
            <w:tcW w:w="1276" w:type="dxa"/>
            <w:tcBorders>
              <w:top w:val="nil"/>
              <w:left w:val="nil"/>
              <w:bottom w:val="single" w:sz="4" w:space="0" w:color="auto"/>
              <w:right w:val="single" w:sz="4" w:space="0" w:color="auto"/>
            </w:tcBorders>
            <w:shd w:val="clear" w:color="000000" w:fill="E2EFDA"/>
            <w:noWrap/>
            <w:vAlign w:val="bottom"/>
          </w:tcPr>
          <w:p w14:paraId="48E9E3B3" w14:textId="485CCED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128</w:t>
            </w:r>
          </w:p>
        </w:tc>
        <w:tc>
          <w:tcPr>
            <w:tcW w:w="1134" w:type="dxa"/>
            <w:tcBorders>
              <w:top w:val="nil"/>
              <w:left w:val="nil"/>
              <w:bottom w:val="single" w:sz="4" w:space="0" w:color="auto"/>
              <w:right w:val="single" w:sz="8" w:space="0" w:color="auto"/>
            </w:tcBorders>
            <w:shd w:val="clear" w:color="000000" w:fill="E2EFDA"/>
            <w:noWrap/>
            <w:vAlign w:val="bottom"/>
          </w:tcPr>
          <w:p w14:paraId="4FD127FD" w14:textId="15E9648D"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565</w:t>
            </w:r>
          </w:p>
        </w:tc>
      </w:tr>
      <w:tr w:rsidR="00683982" w:rsidRPr="001232F0" w14:paraId="750D44F5"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2475C2B" w14:textId="77777777" w:rsidR="00AB49A4" w:rsidRPr="001232F0" w:rsidRDefault="00AB49A4"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76A79A16" w14:textId="1B730766"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72</w:t>
            </w:r>
          </w:p>
        </w:tc>
        <w:tc>
          <w:tcPr>
            <w:tcW w:w="1134" w:type="dxa"/>
            <w:tcBorders>
              <w:top w:val="nil"/>
              <w:left w:val="nil"/>
              <w:bottom w:val="single" w:sz="4" w:space="0" w:color="auto"/>
              <w:right w:val="single" w:sz="4" w:space="0" w:color="auto"/>
            </w:tcBorders>
            <w:shd w:val="clear" w:color="000000" w:fill="FFFF00"/>
            <w:noWrap/>
            <w:vAlign w:val="bottom"/>
          </w:tcPr>
          <w:p w14:paraId="16CF2E3D" w14:textId="518AB769"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88</w:t>
            </w:r>
          </w:p>
        </w:tc>
        <w:tc>
          <w:tcPr>
            <w:tcW w:w="1134" w:type="dxa"/>
            <w:tcBorders>
              <w:top w:val="nil"/>
              <w:left w:val="nil"/>
              <w:bottom w:val="single" w:sz="4" w:space="0" w:color="auto"/>
              <w:right w:val="single" w:sz="4" w:space="0" w:color="auto"/>
            </w:tcBorders>
            <w:shd w:val="clear" w:color="000000" w:fill="E2EFDA"/>
            <w:noWrap/>
            <w:vAlign w:val="bottom"/>
          </w:tcPr>
          <w:p w14:paraId="252D9189" w14:textId="29F6CDE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136</w:t>
            </w:r>
          </w:p>
        </w:tc>
        <w:tc>
          <w:tcPr>
            <w:tcW w:w="1276" w:type="dxa"/>
            <w:tcBorders>
              <w:top w:val="nil"/>
              <w:left w:val="nil"/>
              <w:bottom w:val="single" w:sz="4" w:space="0" w:color="auto"/>
              <w:right w:val="single" w:sz="4" w:space="0" w:color="auto"/>
            </w:tcBorders>
            <w:shd w:val="clear" w:color="000000" w:fill="E2EFDA"/>
            <w:noWrap/>
            <w:vAlign w:val="bottom"/>
          </w:tcPr>
          <w:p w14:paraId="6034F129" w14:textId="068472F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140</w:t>
            </w:r>
          </w:p>
        </w:tc>
        <w:tc>
          <w:tcPr>
            <w:tcW w:w="1276" w:type="dxa"/>
            <w:tcBorders>
              <w:top w:val="nil"/>
              <w:left w:val="nil"/>
              <w:bottom w:val="single" w:sz="4" w:space="0" w:color="auto"/>
              <w:right w:val="single" w:sz="4" w:space="0" w:color="auto"/>
            </w:tcBorders>
            <w:shd w:val="clear" w:color="000000" w:fill="E2EFDA"/>
            <w:noWrap/>
            <w:vAlign w:val="bottom"/>
          </w:tcPr>
          <w:p w14:paraId="6A149B2B" w14:textId="2DBB1B7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236</w:t>
            </w:r>
          </w:p>
        </w:tc>
        <w:tc>
          <w:tcPr>
            <w:tcW w:w="1134" w:type="dxa"/>
            <w:tcBorders>
              <w:top w:val="nil"/>
              <w:left w:val="nil"/>
              <w:bottom w:val="single" w:sz="4" w:space="0" w:color="auto"/>
              <w:right w:val="single" w:sz="8" w:space="0" w:color="auto"/>
            </w:tcBorders>
            <w:shd w:val="clear" w:color="000000" w:fill="E2EFDA"/>
            <w:noWrap/>
            <w:vAlign w:val="bottom"/>
          </w:tcPr>
          <w:p w14:paraId="3391A254" w14:textId="0F68647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488</w:t>
            </w:r>
          </w:p>
        </w:tc>
      </w:tr>
      <w:tr w:rsidR="00683982" w:rsidRPr="001232F0" w14:paraId="3CCF2EAC"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91B600B" w14:textId="77777777" w:rsidR="00AB49A4" w:rsidRPr="001232F0" w:rsidRDefault="00AB49A4"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E2EFDA"/>
            <w:noWrap/>
            <w:vAlign w:val="bottom"/>
          </w:tcPr>
          <w:p w14:paraId="4A405558" w14:textId="1A74BE8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96</w:t>
            </w:r>
          </w:p>
        </w:tc>
        <w:tc>
          <w:tcPr>
            <w:tcW w:w="1134" w:type="dxa"/>
            <w:tcBorders>
              <w:top w:val="nil"/>
              <w:left w:val="nil"/>
              <w:bottom w:val="nil"/>
              <w:right w:val="single" w:sz="4" w:space="0" w:color="auto"/>
            </w:tcBorders>
            <w:shd w:val="clear" w:color="000000" w:fill="FFFF00"/>
            <w:noWrap/>
            <w:vAlign w:val="bottom"/>
          </w:tcPr>
          <w:p w14:paraId="2116F886" w14:textId="094A80D9"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96</w:t>
            </w:r>
          </w:p>
        </w:tc>
        <w:tc>
          <w:tcPr>
            <w:tcW w:w="1134" w:type="dxa"/>
            <w:tcBorders>
              <w:top w:val="nil"/>
              <w:left w:val="nil"/>
              <w:bottom w:val="nil"/>
              <w:right w:val="single" w:sz="4" w:space="0" w:color="auto"/>
            </w:tcBorders>
            <w:shd w:val="clear" w:color="000000" w:fill="E2EFDA"/>
            <w:noWrap/>
            <w:vAlign w:val="bottom"/>
          </w:tcPr>
          <w:p w14:paraId="0948E135" w14:textId="7D80F89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212</w:t>
            </w:r>
          </w:p>
        </w:tc>
        <w:tc>
          <w:tcPr>
            <w:tcW w:w="1276" w:type="dxa"/>
            <w:tcBorders>
              <w:top w:val="nil"/>
              <w:left w:val="nil"/>
              <w:bottom w:val="nil"/>
              <w:right w:val="single" w:sz="4" w:space="0" w:color="auto"/>
            </w:tcBorders>
            <w:shd w:val="clear" w:color="000000" w:fill="E2EFDA"/>
            <w:noWrap/>
            <w:vAlign w:val="bottom"/>
          </w:tcPr>
          <w:p w14:paraId="4BF46E64" w14:textId="245F596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252</w:t>
            </w:r>
          </w:p>
        </w:tc>
        <w:tc>
          <w:tcPr>
            <w:tcW w:w="1276" w:type="dxa"/>
            <w:tcBorders>
              <w:top w:val="nil"/>
              <w:left w:val="nil"/>
              <w:bottom w:val="nil"/>
              <w:right w:val="single" w:sz="4" w:space="0" w:color="auto"/>
            </w:tcBorders>
            <w:shd w:val="clear" w:color="000000" w:fill="E2EFDA"/>
            <w:noWrap/>
            <w:vAlign w:val="bottom"/>
          </w:tcPr>
          <w:p w14:paraId="7B3BDEBF" w14:textId="66C9B26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316</w:t>
            </w:r>
          </w:p>
        </w:tc>
        <w:tc>
          <w:tcPr>
            <w:tcW w:w="1134" w:type="dxa"/>
            <w:tcBorders>
              <w:top w:val="nil"/>
              <w:left w:val="nil"/>
              <w:bottom w:val="nil"/>
              <w:right w:val="single" w:sz="8" w:space="0" w:color="auto"/>
            </w:tcBorders>
            <w:shd w:val="clear" w:color="000000" w:fill="E2EFDA"/>
            <w:noWrap/>
            <w:vAlign w:val="bottom"/>
          </w:tcPr>
          <w:p w14:paraId="42DD3F38" w14:textId="29B0EB8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676</w:t>
            </w:r>
          </w:p>
        </w:tc>
      </w:tr>
    </w:tbl>
    <w:p w14:paraId="733E4277" w14:textId="77777777" w:rsidR="005724F9" w:rsidRDefault="005724F9" w:rsidP="005724F9">
      <w:pPr>
        <w:pStyle w:val="BodyText"/>
        <w:rPr>
          <w:lang w:eastAsia="en-AU"/>
        </w:rPr>
      </w:pPr>
    </w:p>
    <w:p w14:paraId="7C11E83D" w14:textId="62978EB9" w:rsidR="00AB49A4" w:rsidRDefault="00AB49A4" w:rsidP="00AB49A4">
      <w:pPr>
        <w:pStyle w:val="CaptionTable"/>
        <w:rPr>
          <w:lang w:eastAsia="en-AU"/>
        </w:rPr>
      </w:pPr>
      <w:bookmarkStart w:id="39" w:name="_Toc501111524"/>
      <w:r>
        <w:rPr>
          <w:lang w:eastAsia="en-AU"/>
        </w:rPr>
        <w:t>Percentage Increase in forecast  LOR1 conditions in NSW Region (in the</w:t>
      </w:r>
      <w:r w:rsidR="002C2B44">
        <w:rPr>
          <w:lang w:eastAsia="en-AU"/>
        </w:rPr>
        <w:t xml:space="preserve"> six-</w:t>
      </w:r>
      <w:r>
        <w:rPr>
          <w:lang w:eastAsia="en-AU"/>
        </w:rPr>
        <w:t>year period)</w:t>
      </w:r>
      <w:bookmarkEnd w:id="39"/>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AB49A4" w:rsidRPr="00367906" w14:paraId="5FA1DF90" w14:textId="77777777" w:rsidTr="0046618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607688A" w14:textId="77777777" w:rsidR="00AB49A4" w:rsidRPr="001232F0" w:rsidRDefault="00AB49A4"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7542640D"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0F053279"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556E0739"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7918098B"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2A3312A8"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045F85EF"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B49A4" w:rsidRPr="001232F0" w14:paraId="2346DC28"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00A8AED" w14:textId="77777777" w:rsidR="00AB49A4" w:rsidRPr="001232F0" w:rsidRDefault="00AB49A4"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0F808A5B" w14:textId="409A8F4F"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BDD7EE"/>
            <w:noWrap/>
            <w:vAlign w:val="bottom"/>
          </w:tcPr>
          <w:p w14:paraId="514879E2" w14:textId="217A6A1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6478AF1D" w14:textId="039F8F16"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BDD7EE"/>
            <w:noWrap/>
            <w:vAlign w:val="bottom"/>
          </w:tcPr>
          <w:p w14:paraId="04E2C77A" w14:textId="276EA29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0B0B41EE" w14:textId="2479D86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49ECFA30" w14:textId="50065F2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145%</w:t>
            </w:r>
          </w:p>
        </w:tc>
      </w:tr>
      <w:tr w:rsidR="00AB49A4" w:rsidRPr="001232F0" w14:paraId="14132113"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078A067" w14:textId="77777777" w:rsidR="00AB49A4" w:rsidRPr="001232F0" w:rsidRDefault="00AB49A4"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5EAE8042" w14:textId="7EE8ECAF"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677B5318" w14:textId="79EC65D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12FA7E0" w14:textId="23B3092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1C47DBEC" w14:textId="3019C80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0BCCB246" w14:textId="111BC28D"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46DFD59F" w14:textId="2989DCB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563%</w:t>
            </w:r>
          </w:p>
        </w:tc>
      </w:tr>
      <w:tr w:rsidR="00AB49A4" w:rsidRPr="001232F0" w14:paraId="6BCE51FA"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CE88BB4" w14:textId="77777777" w:rsidR="00AB49A4" w:rsidRPr="001232F0" w:rsidRDefault="00AB49A4"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40443BE7" w14:textId="5F710BE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043" w:type="dxa"/>
            <w:tcBorders>
              <w:top w:val="nil"/>
              <w:left w:val="nil"/>
              <w:bottom w:val="single" w:sz="4" w:space="0" w:color="auto"/>
              <w:right w:val="single" w:sz="4" w:space="0" w:color="auto"/>
            </w:tcBorders>
            <w:shd w:val="clear" w:color="000000" w:fill="BDD7EE"/>
            <w:noWrap/>
            <w:vAlign w:val="bottom"/>
          </w:tcPr>
          <w:p w14:paraId="14BAD9A6" w14:textId="7F26876A"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w:t>
            </w:r>
          </w:p>
        </w:tc>
        <w:tc>
          <w:tcPr>
            <w:tcW w:w="1266" w:type="dxa"/>
            <w:tcBorders>
              <w:top w:val="nil"/>
              <w:left w:val="nil"/>
              <w:bottom w:val="single" w:sz="4" w:space="0" w:color="auto"/>
              <w:right w:val="single" w:sz="4" w:space="0" w:color="auto"/>
            </w:tcBorders>
            <w:shd w:val="clear" w:color="000000" w:fill="BDD7EE"/>
            <w:noWrap/>
            <w:vAlign w:val="bottom"/>
          </w:tcPr>
          <w:p w14:paraId="5F3C68C7" w14:textId="40001B2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154" w:type="dxa"/>
            <w:tcBorders>
              <w:top w:val="nil"/>
              <w:left w:val="nil"/>
              <w:bottom w:val="single" w:sz="4" w:space="0" w:color="auto"/>
              <w:right w:val="single" w:sz="4" w:space="0" w:color="auto"/>
            </w:tcBorders>
            <w:shd w:val="clear" w:color="000000" w:fill="BDD7EE"/>
            <w:noWrap/>
            <w:vAlign w:val="bottom"/>
          </w:tcPr>
          <w:p w14:paraId="2B8C9254" w14:textId="19FE1C1D"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154" w:type="dxa"/>
            <w:tcBorders>
              <w:top w:val="nil"/>
              <w:left w:val="nil"/>
              <w:bottom w:val="single" w:sz="4" w:space="0" w:color="auto"/>
              <w:right w:val="single" w:sz="4" w:space="0" w:color="auto"/>
            </w:tcBorders>
            <w:shd w:val="clear" w:color="000000" w:fill="FFFF00"/>
            <w:noWrap/>
            <w:vAlign w:val="bottom"/>
          </w:tcPr>
          <w:p w14:paraId="4AD679E8" w14:textId="607B6E2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266" w:type="dxa"/>
            <w:tcBorders>
              <w:top w:val="nil"/>
              <w:left w:val="nil"/>
              <w:bottom w:val="single" w:sz="4" w:space="0" w:color="auto"/>
              <w:right w:val="single" w:sz="4" w:space="0" w:color="auto"/>
            </w:tcBorders>
            <w:shd w:val="clear" w:color="000000" w:fill="BDD7EE"/>
            <w:noWrap/>
            <w:vAlign w:val="bottom"/>
          </w:tcPr>
          <w:p w14:paraId="210F8782" w14:textId="23C61293"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308%</w:t>
            </w:r>
          </w:p>
        </w:tc>
      </w:tr>
      <w:tr w:rsidR="00AB49A4" w:rsidRPr="001232F0" w14:paraId="62BD4595"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52BD629" w14:textId="77777777" w:rsidR="00AB49A4" w:rsidRPr="001232F0" w:rsidRDefault="00AB49A4"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5DC3C3ED" w14:textId="5FB76C1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p>
        </w:tc>
        <w:tc>
          <w:tcPr>
            <w:tcW w:w="1043" w:type="dxa"/>
            <w:tcBorders>
              <w:top w:val="nil"/>
              <w:left w:val="nil"/>
              <w:bottom w:val="single" w:sz="4" w:space="0" w:color="auto"/>
              <w:right w:val="single" w:sz="4" w:space="0" w:color="auto"/>
            </w:tcBorders>
            <w:shd w:val="clear" w:color="000000" w:fill="BDD7EE"/>
            <w:noWrap/>
            <w:vAlign w:val="bottom"/>
          </w:tcPr>
          <w:p w14:paraId="3A403D8E" w14:textId="733262A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w:t>
            </w:r>
          </w:p>
        </w:tc>
        <w:tc>
          <w:tcPr>
            <w:tcW w:w="1266" w:type="dxa"/>
            <w:tcBorders>
              <w:top w:val="nil"/>
              <w:left w:val="nil"/>
              <w:bottom w:val="single" w:sz="4" w:space="0" w:color="auto"/>
              <w:right w:val="single" w:sz="4" w:space="0" w:color="auto"/>
            </w:tcBorders>
            <w:shd w:val="clear" w:color="000000" w:fill="BDD7EE"/>
            <w:noWrap/>
            <w:vAlign w:val="bottom"/>
          </w:tcPr>
          <w:p w14:paraId="4D863DFD" w14:textId="3842443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w:t>
            </w:r>
          </w:p>
        </w:tc>
        <w:tc>
          <w:tcPr>
            <w:tcW w:w="1154" w:type="dxa"/>
            <w:tcBorders>
              <w:top w:val="nil"/>
              <w:left w:val="nil"/>
              <w:bottom w:val="single" w:sz="4" w:space="0" w:color="auto"/>
              <w:right w:val="single" w:sz="4" w:space="0" w:color="auto"/>
            </w:tcBorders>
            <w:shd w:val="clear" w:color="000000" w:fill="BDD7EE"/>
            <w:noWrap/>
            <w:vAlign w:val="bottom"/>
          </w:tcPr>
          <w:p w14:paraId="3204DEBD" w14:textId="429B31AB"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11%</w:t>
            </w:r>
          </w:p>
        </w:tc>
        <w:tc>
          <w:tcPr>
            <w:tcW w:w="1154" w:type="dxa"/>
            <w:tcBorders>
              <w:top w:val="nil"/>
              <w:left w:val="nil"/>
              <w:bottom w:val="single" w:sz="4" w:space="0" w:color="auto"/>
              <w:right w:val="single" w:sz="4" w:space="0" w:color="auto"/>
            </w:tcBorders>
            <w:shd w:val="clear" w:color="000000" w:fill="FFFF00"/>
            <w:noWrap/>
            <w:vAlign w:val="bottom"/>
          </w:tcPr>
          <w:p w14:paraId="7FE1CB9A" w14:textId="1AC96CD2"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11%</w:t>
            </w:r>
          </w:p>
        </w:tc>
        <w:tc>
          <w:tcPr>
            <w:tcW w:w="1266" w:type="dxa"/>
            <w:tcBorders>
              <w:top w:val="nil"/>
              <w:left w:val="nil"/>
              <w:bottom w:val="single" w:sz="4" w:space="0" w:color="auto"/>
              <w:right w:val="single" w:sz="4" w:space="0" w:color="auto"/>
            </w:tcBorders>
            <w:shd w:val="clear" w:color="000000" w:fill="BDD7EE"/>
            <w:noWrap/>
            <w:vAlign w:val="bottom"/>
          </w:tcPr>
          <w:p w14:paraId="144CD613" w14:textId="5A0395AB"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312%</w:t>
            </w:r>
          </w:p>
        </w:tc>
      </w:tr>
      <w:tr w:rsidR="00AB49A4" w:rsidRPr="001232F0" w14:paraId="4157F05E"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2234531" w14:textId="77777777" w:rsidR="00AB49A4" w:rsidRPr="001232F0" w:rsidRDefault="00AB49A4"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6E221707" w14:textId="29FB6C2A"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w:t>
            </w:r>
          </w:p>
        </w:tc>
        <w:tc>
          <w:tcPr>
            <w:tcW w:w="1043" w:type="dxa"/>
            <w:tcBorders>
              <w:top w:val="nil"/>
              <w:left w:val="nil"/>
              <w:bottom w:val="single" w:sz="4" w:space="0" w:color="auto"/>
              <w:right w:val="single" w:sz="4" w:space="0" w:color="auto"/>
            </w:tcBorders>
            <w:shd w:val="clear" w:color="000000" w:fill="FFFF00"/>
            <w:noWrap/>
            <w:vAlign w:val="bottom"/>
          </w:tcPr>
          <w:p w14:paraId="2CDA6A85" w14:textId="6D3480F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20%</w:t>
            </w:r>
          </w:p>
        </w:tc>
        <w:tc>
          <w:tcPr>
            <w:tcW w:w="1266" w:type="dxa"/>
            <w:tcBorders>
              <w:top w:val="nil"/>
              <w:left w:val="nil"/>
              <w:bottom w:val="single" w:sz="4" w:space="0" w:color="auto"/>
              <w:right w:val="single" w:sz="4" w:space="0" w:color="auto"/>
            </w:tcBorders>
            <w:shd w:val="clear" w:color="000000" w:fill="BDD7EE"/>
            <w:noWrap/>
            <w:vAlign w:val="bottom"/>
          </w:tcPr>
          <w:p w14:paraId="52353746" w14:textId="66CE98D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23%</w:t>
            </w:r>
          </w:p>
        </w:tc>
        <w:tc>
          <w:tcPr>
            <w:tcW w:w="1154" w:type="dxa"/>
            <w:tcBorders>
              <w:top w:val="nil"/>
              <w:left w:val="nil"/>
              <w:bottom w:val="single" w:sz="4" w:space="0" w:color="auto"/>
              <w:right w:val="single" w:sz="4" w:space="0" w:color="auto"/>
            </w:tcBorders>
            <w:shd w:val="clear" w:color="000000" w:fill="BDD7EE"/>
            <w:noWrap/>
            <w:vAlign w:val="bottom"/>
          </w:tcPr>
          <w:p w14:paraId="5E9652CB" w14:textId="7AB62016"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64%</w:t>
            </w:r>
          </w:p>
        </w:tc>
        <w:tc>
          <w:tcPr>
            <w:tcW w:w="1154" w:type="dxa"/>
            <w:tcBorders>
              <w:top w:val="nil"/>
              <w:left w:val="nil"/>
              <w:bottom w:val="single" w:sz="4" w:space="0" w:color="auto"/>
              <w:right w:val="single" w:sz="4" w:space="0" w:color="auto"/>
            </w:tcBorders>
            <w:shd w:val="clear" w:color="000000" w:fill="BDD7EE"/>
            <w:noWrap/>
            <w:vAlign w:val="bottom"/>
          </w:tcPr>
          <w:p w14:paraId="47F311D5" w14:textId="0915356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64%</w:t>
            </w:r>
          </w:p>
        </w:tc>
        <w:tc>
          <w:tcPr>
            <w:tcW w:w="1266" w:type="dxa"/>
            <w:tcBorders>
              <w:top w:val="nil"/>
              <w:left w:val="nil"/>
              <w:bottom w:val="single" w:sz="4" w:space="0" w:color="auto"/>
              <w:right w:val="single" w:sz="4" w:space="0" w:color="auto"/>
            </w:tcBorders>
            <w:shd w:val="clear" w:color="000000" w:fill="BDD7EE"/>
            <w:noWrap/>
            <w:vAlign w:val="bottom"/>
          </w:tcPr>
          <w:p w14:paraId="52FFFB49" w14:textId="1F95DD8F"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270%</w:t>
            </w:r>
          </w:p>
        </w:tc>
      </w:tr>
      <w:tr w:rsidR="00AB49A4" w:rsidRPr="001232F0" w14:paraId="2A347F8C"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5AD1F9C" w14:textId="77777777" w:rsidR="00AB49A4" w:rsidRPr="001232F0" w:rsidRDefault="00AB49A4"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3DA29F3B" w14:textId="5D44F1DC"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64%</w:t>
            </w:r>
          </w:p>
        </w:tc>
        <w:tc>
          <w:tcPr>
            <w:tcW w:w="1043" w:type="dxa"/>
            <w:tcBorders>
              <w:top w:val="nil"/>
              <w:left w:val="nil"/>
              <w:bottom w:val="single" w:sz="4" w:space="0" w:color="auto"/>
              <w:right w:val="single" w:sz="4" w:space="0" w:color="auto"/>
            </w:tcBorders>
            <w:shd w:val="clear" w:color="000000" w:fill="FFFF00"/>
            <w:noWrap/>
            <w:vAlign w:val="bottom"/>
          </w:tcPr>
          <w:p w14:paraId="22C36211" w14:textId="3B052C6E"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53%</w:t>
            </w:r>
          </w:p>
        </w:tc>
        <w:tc>
          <w:tcPr>
            <w:tcW w:w="1266" w:type="dxa"/>
            <w:tcBorders>
              <w:top w:val="nil"/>
              <w:left w:val="nil"/>
              <w:bottom w:val="single" w:sz="4" w:space="0" w:color="auto"/>
              <w:right w:val="single" w:sz="4" w:space="0" w:color="auto"/>
            </w:tcBorders>
            <w:shd w:val="clear" w:color="000000" w:fill="BDD7EE"/>
            <w:noWrap/>
            <w:vAlign w:val="bottom"/>
          </w:tcPr>
          <w:p w14:paraId="3C95F287" w14:textId="4C16D5FB"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67%</w:t>
            </w:r>
          </w:p>
        </w:tc>
        <w:tc>
          <w:tcPr>
            <w:tcW w:w="1154" w:type="dxa"/>
            <w:tcBorders>
              <w:top w:val="nil"/>
              <w:left w:val="nil"/>
              <w:bottom w:val="single" w:sz="4" w:space="0" w:color="auto"/>
              <w:right w:val="single" w:sz="4" w:space="0" w:color="auto"/>
            </w:tcBorders>
            <w:shd w:val="clear" w:color="000000" w:fill="BDD7EE"/>
            <w:noWrap/>
            <w:vAlign w:val="bottom"/>
          </w:tcPr>
          <w:p w14:paraId="5F860267" w14:textId="7E5ACE6D"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71%</w:t>
            </w:r>
          </w:p>
        </w:tc>
        <w:tc>
          <w:tcPr>
            <w:tcW w:w="1154" w:type="dxa"/>
            <w:tcBorders>
              <w:top w:val="nil"/>
              <w:left w:val="nil"/>
              <w:bottom w:val="single" w:sz="4" w:space="0" w:color="auto"/>
              <w:right w:val="single" w:sz="4" w:space="0" w:color="auto"/>
            </w:tcBorders>
            <w:shd w:val="clear" w:color="000000" w:fill="BDD7EE"/>
            <w:noWrap/>
            <w:vAlign w:val="bottom"/>
          </w:tcPr>
          <w:p w14:paraId="33170FB2" w14:textId="3FB695F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186%</w:t>
            </w:r>
          </w:p>
        </w:tc>
        <w:tc>
          <w:tcPr>
            <w:tcW w:w="1266" w:type="dxa"/>
            <w:tcBorders>
              <w:top w:val="nil"/>
              <w:left w:val="nil"/>
              <w:bottom w:val="single" w:sz="4" w:space="0" w:color="auto"/>
              <w:right w:val="single" w:sz="4" w:space="0" w:color="auto"/>
            </w:tcBorders>
            <w:shd w:val="clear" w:color="000000" w:fill="BDD7EE"/>
            <w:noWrap/>
            <w:vAlign w:val="bottom"/>
          </w:tcPr>
          <w:p w14:paraId="16C1F72F" w14:textId="47431A67"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486%</w:t>
            </w:r>
          </w:p>
        </w:tc>
      </w:tr>
      <w:tr w:rsidR="00AB49A4" w:rsidRPr="001232F0" w14:paraId="2339B806"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B0DDD8D" w14:textId="77777777" w:rsidR="00AB49A4" w:rsidRPr="001232F0" w:rsidRDefault="00AB49A4"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BDD7EE"/>
            <w:noWrap/>
            <w:vAlign w:val="bottom"/>
          </w:tcPr>
          <w:p w14:paraId="1DF92CD6" w14:textId="08DB7E42"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85%</w:t>
            </w:r>
          </w:p>
        </w:tc>
        <w:tc>
          <w:tcPr>
            <w:tcW w:w="1043" w:type="dxa"/>
            <w:tcBorders>
              <w:top w:val="nil"/>
              <w:left w:val="nil"/>
              <w:bottom w:val="single" w:sz="8" w:space="0" w:color="auto"/>
              <w:right w:val="single" w:sz="4" w:space="0" w:color="auto"/>
            </w:tcBorders>
            <w:shd w:val="clear" w:color="000000" w:fill="FFFF00"/>
            <w:noWrap/>
            <w:vAlign w:val="bottom"/>
          </w:tcPr>
          <w:p w14:paraId="7B39D392" w14:textId="50946BB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85%</w:t>
            </w:r>
          </w:p>
        </w:tc>
        <w:tc>
          <w:tcPr>
            <w:tcW w:w="1266" w:type="dxa"/>
            <w:tcBorders>
              <w:top w:val="nil"/>
              <w:left w:val="nil"/>
              <w:bottom w:val="single" w:sz="8" w:space="0" w:color="auto"/>
              <w:right w:val="single" w:sz="4" w:space="0" w:color="auto"/>
            </w:tcBorders>
            <w:shd w:val="clear" w:color="000000" w:fill="BDD7EE"/>
            <w:noWrap/>
            <w:vAlign w:val="bottom"/>
          </w:tcPr>
          <w:p w14:paraId="74769354" w14:textId="46CA09A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212%</w:t>
            </w:r>
          </w:p>
        </w:tc>
        <w:tc>
          <w:tcPr>
            <w:tcW w:w="1154" w:type="dxa"/>
            <w:tcBorders>
              <w:top w:val="nil"/>
              <w:left w:val="nil"/>
              <w:bottom w:val="single" w:sz="8" w:space="0" w:color="auto"/>
              <w:right w:val="single" w:sz="4" w:space="0" w:color="auto"/>
            </w:tcBorders>
            <w:shd w:val="clear" w:color="000000" w:fill="BDD7EE"/>
            <w:noWrap/>
            <w:vAlign w:val="bottom"/>
          </w:tcPr>
          <w:p w14:paraId="03FEF122" w14:textId="6BE1290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271%</w:t>
            </w:r>
          </w:p>
        </w:tc>
        <w:tc>
          <w:tcPr>
            <w:tcW w:w="1154" w:type="dxa"/>
            <w:tcBorders>
              <w:top w:val="nil"/>
              <w:left w:val="nil"/>
              <w:bottom w:val="single" w:sz="8" w:space="0" w:color="auto"/>
              <w:right w:val="single" w:sz="4" w:space="0" w:color="auto"/>
            </w:tcBorders>
            <w:shd w:val="clear" w:color="000000" w:fill="BDD7EE"/>
            <w:noWrap/>
            <w:vAlign w:val="bottom"/>
          </w:tcPr>
          <w:p w14:paraId="66756351" w14:textId="1FF6CDD9"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365%</w:t>
            </w:r>
          </w:p>
        </w:tc>
        <w:tc>
          <w:tcPr>
            <w:tcW w:w="1266" w:type="dxa"/>
            <w:tcBorders>
              <w:top w:val="nil"/>
              <w:left w:val="nil"/>
              <w:bottom w:val="single" w:sz="8" w:space="0" w:color="auto"/>
              <w:right w:val="single" w:sz="4" w:space="0" w:color="auto"/>
            </w:tcBorders>
            <w:shd w:val="clear" w:color="000000" w:fill="BDD7EE"/>
            <w:noWrap/>
            <w:vAlign w:val="bottom"/>
          </w:tcPr>
          <w:p w14:paraId="406FFC95" w14:textId="754BAEF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894%</w:t>
            </w:r>
          </w:p>
        </w:tc>
      </w:tr>
    </w:tbl>
    <w:p w14:paraId="246AB453" w14:textId="77777777" w:rsidR="002C2B44" w:rsidRDefault="002C2B44" w:rsidP="0046618F">
      <w:pPr>
        <w:pStyle w:val="TableFootnote"/>
        <w:rPr>
          <w:lang w:eastAsia="en-AU"/>
        </w:rPr>
      </w:pPr>
    </w:p>
    <w:p w14:paraId="78557420" w14:textId="15D63461" w:rsidR="00AB49A4" w:rsidRDefault="00AB49A4" w:rsidP="00AB49A4">
      <w:pPr>
        <w:pStyle w:val="CaptionTable"/>
        <w:rPr>
          <w:lang w:eastAsia="en-AU"/>
        </w:rPr>
      </w:pPr>
      <w:bookmarkStart w:id="40" w:name="_Toc501111525"/>
      <w:r>
        <w:rPr>
          <w:lang w:eastAsia="en-AU"/>
        </w:rPr>
        <w:t xml:space="preserve">Increase in number TIs with forecast  LOR1 conditions in NSW Region (in the </w:t>
      </w:r>
      <w:r w:rsidR="002C2B44">
        <w:rPr>
          <w:lang w:eastAsia="en-AU"/>
        </w:rPr>
        <w:t>six-</w:t>
      </w:r>
      <w:r>
        <w:rPr>
          <w:lang w:eastAsia="en-AU"/>
        </w:rPr>
        <w:t>year period)</w:t>
      </w:r>
      <w:bookmarkEnd w:id="40"/>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AB49A4" w:rsidRPr="00367906" w14:paraId="6C86FA02" w14:textId="77777777" w:rsidTr="0046618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0154E771" w14:textId="77777777" w:rsidR="00AB49A4" w:rsidRPr="001232F0" w:rsidRDefault="00AB49A4"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313F7840"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6AF4EA71"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50D2E96C"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4651B9E9"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48560C24"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281C9B85"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683982" w:rsidRPr="001232F0" w14:paraId="08AFB567"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131FD84" w14:textId="77777777" w:rsidR="00AB49A4" w:rsidRPr="001232F0" w:rsidRDefault="00AB49A4" w:rsidP="0046618F">
            <w:pPr>
              <w:pStyle w:val="TableNumber"/>
              <w:rPr>
                <w:lang w:eastAsia="en-AU"/>
              </w:rPr>
            </w:pPr>
            <w:r w:rsidRPr="001232F0">
              <w:rPr>
                <w:lang w:eastAsia="en-AU"/>
              </w:rPr>
              <w:t>2</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45D75BE3" w14:textId="17841E9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71ECF060" w14:textId="05ECD40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9CE75B5" w14:textId="00598BB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70866AB5" w14:textId="2AEF11A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6FB8864E" w14:textId="10CD254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505558D" w14:textId="4770CC29"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103</w:t>
            </w:r>
          </w:p>
        </w:tc>
      </w:tr>
      <w:tr w:rsidR="00683982" w:rsidRPr="001232F0" w14:paraId="1CA27ACF"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7CEE637" w14:textId="77777777" w:rsidR="00AB49A4" w:rsidRPr="001232F0" w:rsidRDefault="00AB49A4"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3762B5DB" w14:textId="52981AF8"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60E75F49" w14:textId="762983F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73F4D5C" w14:textId="6896B2D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42879418" w14:textId="38B7D65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6649361B" w14:textId="25EE237D"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1AD9E66" w14:textId="5A5B8679"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152</w:t>
            </w:r>
          </w:p>
        </w:tc>
      </w:tr>
      <w:tr w:rsidR="00683982" w:rsidRPr="001232F0" w14:paraId="02285275"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04E232E" w14:textId="77777777" w:rsidR="00AB49A4" w:rsidRPr="001232F0" w:rsidRDefault="00AB49A4"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70A8563A" w14:textId="0E10F66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BDD7EE"/>
            <w:noWrap/>
            <w:vAlign w:val="bottom"/>
          </w:tcPr>
          <w:p w14:paraId="0500E9F5" w14:textId="579A6960"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BDD7EE"/>
            <w:noWrap/>
            <w:vAlign w:val="bottom"/>
          </w:tcPr>
          <w:p w14:paraId="0F1C0B49" w14:textId="21261395"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276" w:type="dxa"/>
            <w:tcBorders>
              <w:top w:val="nil"/>
              <w:left w:val="nil"/>
              <w:bottom w:val="single" w:sz="4" w:space="0" w:color="auto"/>
              <w:right w:val="single" w:sz="4" w:space="0" w:color="auto"/>
            </w:tcBorders>
            <w:shd w:val="clear" w:color="000000" w:fill="BDD7EE"/>
            <w:noWrap/>
            <w:vAlign w:val="bottom"/>
          </w:tcPr>
          <w:p w14:paraId="41E9BA99" w14:textId="7A7FFA3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276" w:type="dxa"/>
            <w:tcBorders>
              <w:top w:val="nil"/>
              <w:left w:val="nil"/>
              <w:bottom w:val="single" w:sz="4" w:space="0" w:color="auto"/>
              <w:right w:val="single" w:sz="4" w:space="0" w:color="auto"/>
            </w:tcBorders>
            <w:shd w:val="clear" w:color="000000" w:fill="FFFF00"/>
            <w:noWrap/>
            <w:vAlign w:val="bottom"/>
          </w:tcPr>
          <w:p w14:paraId="3EA85992" w14:textId="4C2BC8D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134" w:type="dxa"/>
            <w:tcBorders>
              <w:top w:val="nil"/>
              <w:left w:val="nil"/>
              <w:bottom w:val="single" w:sz="4" w:space="0" w:color="auto"/>
              <w:right w:val="single" w:sz="4" w:space="0" w:color="auto"/>
            </w:tcBorders>
            <w:shd w:val="clear" w:color="000000" w:fill="BDD7EE"/>
            <w:noWrap/>
            <w:vAlign w:val="bottom"/>
          </w:tcPr>
          <w:p w14:paraId="5B8115A5" w14:textId="2E1FC6C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163</w:t>
            </w:r>
          </w:p>
        </w:tc>
      </w:tr>
      <w:tr w:rsidR="00683982" w:rsidRPr="001232F0" w14:paraId="49BA6A6C"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FEFFB1D" w14:textId="77777777" w:rsidR="00AB49A4" w:rsidRPr="001232F0" w:rsidRDefault="00AB49A4"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1481729D" w14:textId="35EFF3E0"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p>
        </w:tc>
        <w:tc>
          <w:tcPr>
            <w:tcW w:w="1134" w:type="dxa"/>
            <w:tcBorders>
              <w:top w:val="nil"/>
              <w:left w:val="nil"/>
              <w:bottom w:val="single" w:sz="4" w:space="0" w:color="auto"/>
              <w:right w:val="single" w:sz="4" w:space="0" w:color="auto"/>
            </w:tcBorders>
            <w:shd w:val="clear" w:color="000000" w:fill="BDD7EE"/>
            <w:noWrap/>
            <w:vAlign w:val="bottom"/>
          </w:tcPr>
          <w:p w14:paraId="4516AACE" w14:textId="2CE58B0A"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134" w:type="dxa"/>
            <w:tcBorders>
              <w:top w:val="nil"/>
              <w:left w:val="nil"/>
              <w:bottom w:val="single" w:sz="4" w:space="0" w:color="auto"/>
              <w:right w:val="single" w:sz="4" w:space="0" w:color="auto"/>
            </w:tcBorders>
            <w:shd w:val="clear" w:color="000000" w:fill="BDD7EE"/>
            <w:noWrap/>
            <w:vAlign w:val="bottom"/>
          </w:tcPr>
          <w:p w14:paraId="11A37C67" w14:textId="7C871595"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276" w:type="dxa"/>
            <w:tcBorders>
              <w:top w:val="nil"/>
              <w:left w:val="nil"/>
              <w:bottom w:val="single" w:sz="4" w:space="0" w:color="auto"/>
              <w:right w:val="single" w:sz="4" w:space="0" w:color="auto"/>
            </w:tcBorders>
            <w:shd w:val="clear" w:color="000000" w:fill="BDD7EE"/>
            <w:noWrap/>
            <w:vAlign w:val="bottom"/>
          </w:tcPr>
          <w:p w14:paraId="47E82D8B" w14:textId="6278BE4B"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w:t>
            </w:r>
          </w:p>
        </w:tc>
        <w:tc>
          <w:tcPr>
            <w:tcW w:w="1276" w:type="dxa"/>
            <w:tcBorders>
              <w:top w:val="nil"/>
              <w:left w:val="nil"/>
              <w:bottom w:val="single" w:sz="4" w:space="0" w:color="auto"/>
              <w:right w:val="single" w:sz="4" w:space="0" w:color="auto"/>
            </w:tcBorders>
            <w:shd w:val="clear" w:color="000000" w:fill="FFFF00"/>
            <w:noWrap/>
            <w:vAlign w:val="bottom"/>
          </w:tcPr>
          <w:p w14:paraId="31281B31" w14:textId="41C2D352"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w:t>
            </w:r>
          </w:p>
        </w:tc>
        <w:tc>
          <w:tcPr>
            <w:tcW w:w="1134" w:type="dxa"/>
            <w:tcBorders>
              <w:top w:val="nil"/>
              <w:left w:val="nil"/>
              <w:bottom w:val="single" w:sz="4" w:space="0" w:color="auto"/>
              <w:right w:val="single" w:sz="4" w:space="0" w:color="auto"/>
            </w:tcBorders>
            <w:shd w:val="clear" w:color="000000" w:fill="BDD7EE"/>
            <w:noWrap/>
            <w:vAlign w:val="bottom"/>
          </w:tcPr>
          <w:p w14:paraId="6AA7FDA4" w14:textId="152E5D88"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234</w:t>
            </w:r>
          </w:p>
        </w:tc>
      </w:tr>
      <w:tr w:rsidR="00683982" w:rsidRPr="001232F0" w14:paraId="6E3C11BC"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F919604" w14:textId="77777777" w:rsidR="00AB49A4" w:rsidRPr="001232F0" w:rsidRDefault="00AB49A4"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5F34D6B1" w14:textId="1F51CC3B"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134" w:type="dxa"/>
            <w:tcBorders>
              <w:top w:val="nil"/>
              <w:left w:val="nil"/>
              <w:bottom w:val="single" w:sz="4" w:space="0" w:color="auto"/>
              <w:right w:val="single" w:sz="4" w:space="0" w:color="auto"/>
            </w:tcBorders>
            <w:shd w:val="clear" w:color="000000" w:fill="FFFF00"/>
            <w:noWrap/>
            <w:vAlign w:val="bottom"/>
          </w:tcPr>
          <w:p w14:paraId="091D29D5" w14:textId="569884A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14</w:t>
            </w:r>
          </w:p>
        </w:tc>
        <w:tc>
          <w:tcPr>
            <w:tcW w:w="1134" w:type="dxa"/>
            <w:tcBorders>
              <w:top w:val="nil"/>
              <w:left w:val="nil"/>
              <w:bottom w:val="single" w:sz="4" w:space="0" w:color="auto"/>
              <w:right w:val="single" w:sz="4" w:space="0" w:color="auto"/>
            </w:tcBorders>
            <w:shd w:val="clear" w:color="000000" w:fill="BDD7EE"/>
            <w:noWrap/>
            <w:vAlign w:val="bottom"/>
          </w:tcPr>
          <w:p w14:paraId="3EDA8893" w14:textId="56C4B128"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22</w:t>
            </w:r>
          </w:p>
        </w:tc>
        <w:tc>
          <w:tcPr>
            <w:tcW w:w="1276" w:type="dxa"/>
            <w:tcBorders>
              <w:top w:val="nil"/>
              <w:left w:val="nil"/>
              <w:bottom w:val="single" w:sz="4" w:space="0" w:color="auto"/>
              <w:right w:val="single" w:sz="4" w:space="0" w:color="auto"/>
            </w:tcBorders>
            <w:shd w:val="clear" w:color="000000" w:fill="BDD7EE"/>
            <w:noWrap/>
            <w:vAlign w:val="bottom"/>
          </w:tcPr>
          <w:p w14:paraId="60B65215" w14:textId="22A9A47D"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67</w:t>
            </w:r>
          </w:p>
        </w:tc>
        <w:tc>
          <w:tcPr>
            <w:tcW w:w="1276" w:type="dxa"/>
            <w:tcBorders>
              <w:top w:val="nil"/>
              <w:left w:val="nil"/>
              <w:bottom w:val="single" w:sz="4" w:space="0" w:color="auto"/>
              <w:right w:val="single" w:sz="4" w:space="0" w:color="auto"/>
            </w:tcBorders>
            <w:shd w:val="clear" w:color="000000" w:fill="BDD7EE"/>
            <w:noWrap/>
            <w:vAlign w:val="bottom"/>
          </w:tcPr>
          <w:p w14:paraId="4D77D1EF" w14:textId="73755624"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67</w:t>
            </w:r>
          </w:p>
        </w:tc>
        <w:tc>
          <w:tcPr>
            <w:tcW w:w="1134" w:type="dxa"/>
            <w:tcBorders>
              <w:top w:val="nil"/>
              <w:left w:val="nil"/>
              <w:bottom w:val="single" w:sz="4" w:space="0" w:color="auto"/>
              <w:right w:val="single" w:sz="4" w:space="0" w:color="auto"/>
            </w:tcBorders>
            <w:shd w:val="clear" w:color="000000" w:fill="BDD7EE"/>
            <w:noWrap/>
            <w:vAlign w:val="bottom"/>
          </w:tcPr>
          <w:p w14:paraId="08BDA3A8" w14:textId="19EA9AF1"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432</w:t>
            </w:r>
          </w:p>
        </w:tc>
      </w:tr>
      <w:tr w:rsidR="00683982" w:rsidRPr="001232F0" w14:paraId="0700DEE8"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18151DC" w14:textId="77777777" w:rsidR="00AB49A4" w:rsidRPr="001232F0" w:rsidRDefault="00AB49A4"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292E2271" w14:textId="30D9910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28</w:t>
            </w:r>
          </w:p>
        </w:tc>
        <w:tc>
          <w:tcPr>
            <w:tcW w:w="1134" w:type="dxa"/>
            <w:tcBorders>
              <w:top w:val="nil"/>
              <w:left w:val="nil"/>
              <w:bottom w:val="single" w:sz="4" w:space="0" w:color="auto"/>
              <w:right w:val="single" w:sz="4" w:space="0" w:color="auto"/>
            </w:tcBorders>
            <w:shd w:val="clear" w:color="000000" w:fill="FFFF00"/>
            <w:noWrap/>
            <w:vAlign w:val="bottom"/>
          </w:tcPr>
          <w:p w14:paraId="69EC0165" w14:textId="06293B84"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32</w:t>
            </w:r>
          </w:p>
        </w:tc>
        <w:tc>
          <w:tcPr>
            <w:tcW w:w="1134" w:type="dxa"/>
            <w:tcBorders>
              <w:top w:val="nil"/>
              <w:left w:val="nil"/>
              <w:bottom w:val="single" w:sz="4" w:space="0" w:color="auto"/>
              <w:right w:val="single" w:sz="4" w:space="0" w:color="auto"/>
            </w:tcBorders>
            <w:shd w:val="clear" w:color="000000" w:fill="BDD7EE"/>
            <w:noWrap/>
            <w:vAlign w:val="bottom"/>
          </w:tcPr>
          <w:p w14:paraId="1DFE7050" w14:textId="13B2D44B"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56</w:t>
            </w:r>
          </w:p>
        </w:tc>
        <w:tc>
          <w:tcPr>
            <w:tcW w:w="1276" w:type="dxa"/>
            <w:tcBorders>
              <w:top w:val="nil"/>
              <w:left w:val="nil"/>
              <w:bottom w:val="single" w:sz="4" w:space="0" w:color="auto"/>
              <w:right w:val="single" w:sz="4" w:space="0" w:color="auto"/>
            </w:tcBorders>
            <w:shd w:val="clear" w:color="000000" w:fill="BDD7EE"/>
            <w:noWrap/>
            <w:vAlign w:val="bottom"/>
          </w:tcPr>
          <w:p w14:paraId="452760C3" w14:textId="29983831"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60</w:t>
            </w:r>
          </w:p>
        </w:tc>
        <w:tc>
          <w:tcPr>
            <w:tcW w:w="1276" w:type="dxa"/>
            <w:tcBorders>
              <w:top w:val="nil"/>
              <w:left w:val="nil"/>
              <w:bottom w:val="single" w:sz="4" w:space="0" w:color="auto"/>
              <w:right w:val="single" w:sz="4" w:space="0" w:color="auto"/>
            </w:tcBorders>
            <w:shd w:val="clear" w:color="000000" w:fill="BDD7EE"/>
            <w:noWrap/>
            <w:vAlign w:val="bottom"/>
          </w:tcPr>
          <w:p w14:paraId="12B7FF6B" w14:textId="4104FC9D"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156</w:t>
            </w:r>
          </w:p>
        </w:tc>
        <w:tc>
          <w:tcPr>
            <w:tcW w:w="1134" w:type="dxa"/>
            <w:tcBorders>
              <w:top w:val="nil"/>
              <w:left w:val="nil"/>
              <w:bottom w:val="single" w:sz="4" w:space="0" w:color="auto"/>
              <w:right w:val="single" w:sz="4" w:space="0" w:color="auto"/>
            </w:tcBorders>
            <w:shd w:val="clear" w:color="000000" w:fill="BDD7EE"/>
            <w:noWrap/>
            <w:vAlign w:val="bottom"/>
          </w:tcPr>
          <w:p w14:paraId="37CE78E6" w14:textId="1DFF8F03" w:rsidR="00AB49A4" w:rsidRPr="001232F0" w:rsidRDefault="00AB49A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408</w:t>
            </w:r>
          </w:p>
        </w:tc>
      </w:tr>
      <w:tr w:rsidR="00683982" w:rsidRPr="001232F0" w14:paraId="186CD358"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7742B78" w14:textId="77777777" w:rsidR="00AB49A4" w:rsidRPr="001232F0" w:rsidRDefault="00AB49A4"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BDD7EE"/>
            <w:noWrap/>
            <w:vAlign w:val="bottom"/>
          </w:tcPr>
          <w:p w14:paraId="4EB4757B" w14:textId="51A474DC"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44</w:t>
            </w:r>
          </w:p>
        </w:tc>
        <w:tc>
          <w:tcPr>
            <w:tcW w:w="1134" w:type="dxa"/>
            <w:tcBorders>
              <w:top w:val="nil"/>
              <w:left w:val="nil"/>
              <w:bottom w:val="nil"/>
              <w:right w:val="single" w:sz="4" w:space="0" w:color="auto"/>
            </w:tcBorders>
            <w:shd w:val="clear" w:color="000000" w:fill="FFFF00"/>
            <w:noWrap/>
            <w:vAlign w:val="bottom"/>
          </w:tcPr>
          <w:p w14:paraId="7C0BD62F" w14:textId="57D188ED"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44</w:t>
            </w:r>
          </w:p>
        </w:tc>
        <w:tc>
          <w:tcPr>
            <w:tcW w:w="1134" w:type="dxa"/>
            <w:tcBorders>
              <w:top w:val="nil"/>
              <w:left w:val="nil"/>
              <w:bottom w:val="nil"/>
              <w:right w:val="single" w:sz="4" w:space="0" w:color="auto"/>
            </w:tcBorders>
            <w:shd w:val="clear" w:color="000000" w:fill="BDD7EE"/>
            <w:noWrap/>
            <w:vAlign w:val="bottom"/>
          </w:tcPr>
          <w:p w14:paraId="6D24B57E" w14:textId="4590A477"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144</w:t>
            </w:r>
          </w:p>
        </w:tc>
        <w:tc>
          <w:tcPr>
            <w:tcW w:w="1276" w:type="dxa"/>
            <w:tcBorders>
              <w:top w:val="nil"/>
              <w:left w:val="nil"/>
              <w:bottom w:val="nil"/>
              <w:right w:val="single" w:sz="4" w:space="0" w:color="auto"/>
            </w:tcBorders>
            <w:shd w:val="clear" w:color="000000" w:fill="BDD7EE"/>
            <w:noWrap/>
            <w:vAlign w:val="bottom"/>
          </w:tcPr>
          <w:p w14:paraId="34539CAF" w14:textId="45A8E8A9"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184</w:t>
            </w:r>
          </w:p>
        </w:tc>
        <w:tc>
          <w:tcPr>
            <w:tcW w:w="1276" w:type="dxa"/>
            <w:tcBorders>
              <w:top w:val="nil"/>
              <w:left w:val="nil"/>
              <w:bottom w:val="nil"/>
              <w:right w:val="single" w:sz="4" w:space="0" w:color="auto"/>
            </w:tcBorders>
            <w:shd w:val="clear" w:color="000000" w:fill="BDD7EE"/>
            <w:noWrap/>
            <w:vAlign w:val="bottom"/>
          </w:tcPr>
          <w:p w14:paraId="06AEAD6F" w14:textId="207405DE"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248</w:t>
            </w:r>
          </w:p>
        </w:tc>
        <w:tc>
          <w:tcPr>
            <w:tcW w:w="1134" w:type="dxa"/>
            <w:tcBorders>
              <w:top w:val="nil"/>
              <w:left w:val="nil"/>
              <w:bottom w:val="nil"/>
              <w:right w:val="single" w:sz="4" w:space="0" w:color="auto"/>
            </w:tcBorders>
            <w:shd w:val="clear" w:color="000000" w:fill="BDD7EE"/>
            <w:noWrap/>
            <w:vAlign w:val="bottom"/>
          </w:tcPr>
          <w:p w14:paraId="76403637" w14:textId="2C661666" w:rsidR="00AB49A4" w:rsidRPr="001232F0" w:rsidRDefault="00AB49A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608</w:t>
            </w:r>
          </w:p>
        </w:tc>
      </w:tr>
    </w:tbl>
    <w:p w14:paraId="71F31D80" w14:textId="77777777" w:rsidR="005724F9" w:rsidRDefault="005724F9" w:rsidP="0046618F">
      <w:pPr>
        <w:pStyle w:val="TableFootnote"/>
        <w:rPr>
          <w:lang w:eastAsia="en-AU"/>
        </w:rPr>
      </w:pPr>
    </w:p>
    <w:p w14:paraId="0CE5B40E" w14:textId="3876B9DC" w:rsidR="00AB49A4" w:rsidRDefault="00AB49A4" w:rsidP="002B2BD0">
      <w:pPr>
        <w:pStyle w:val="AppendixHeading2"/>
      </w:pPr>
      <w:bookmarkStart w:id="41" w:name="_Toc501111565"/>
      <w:bookmarkStart w:id="42" w:name="_Toc501453674"/>
      <w:bookmarkStart w:id="43" w:name="_Toc501453675"/>
      <w:bookmarkEnd w:id="41"/>
      <w:bookmarkEnd w:id="42"/>
      <w:r>
        <w:t>Queensland</w:t>
      </w:r>
      <w:bookmarkEnd w:id="43"/>
    </w:p>
    <w:p w14:paraId="73625568" w14:textId="70CD7AA6" w:rsidR="00AB49A4" w:rsidRDefault="00AB49A4" w:rsidP="00AB49A4">
      <w:pPr>
        <w:pStyle w:val="CaptionTable"/>
        <w:rPr>
          <w:lang w:eastAsia="en-AU"/>
        </w:rPr>
      </w:pPr>
      <w:bookmarkStart w:id="44" w:name="_Toc501111526"/>
      <w:r>
        <w:rPr>
          <w:lang w:eastAsia="en-AU"/>
        </w:rPr>
        <w:t xml:space="preserve">Percentage Increase in forecast </w:t>
      </w:r>
      <w:r w:rsidR="004C3614">
        <w:rPr>
          <w:lang w:eastAsia="en-AU"/>
        </w:rPr>
        <w:t xml:space="preserve"> LOR2 conditions in Qld</w:t>
      </w:r>
      <w:r>
        <w:rPr>
          <w:lang w:eastAsia="en-AU"/>
        </w:rPr>
        <w:t xml:space="preserve"> Region (in the </w:t>
      </w:r>
      <w:r w:rsidR="002C2B44">
        <w:rPr>
          <w:lang w:eastAsia="en-AU"/>
        </w:rPr>
        <w:t>six-</w:t>
      </w:r>
      <w:r>
        <w:rPr>
          <w:lang w:eastAsia="en-AU"/>
        </w:rPr>
        <w:t>year period)</w:t>
      </w:r>
      <w:bookmarkEnd w:id="44"/>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AB49A4" w:rsidRPr="00367906" w14:paraId="7ECB1497" w14:textId="77777777" w:rsidTr="0046618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1E735912" w14:textId="77777777" w:rsidR="00AB49A4" w:rsidRPr="001232F0" w:rsidRDefault="00AB49A4"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4A2CCEF2"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340BF7BA"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4A2B5DEE"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7CBF589C"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53B7611E"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3D158CE5"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683982" w:rsidRPr="001232F0" w14:paraId="1B807A39"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FE1D82B" w14:textId="77777777" w:rsidR="004C3614" w:rsidRPr="001232F0" w:rsidRDefault="004C3614"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262ED871" w14:textId="2B0115D4"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E2EFDA"/>
            <w:noWrap/>
            <w:vAlign w:val="bottom"/>
          </w:tcPr>
          <w:p w14:paraId="6E323353" w14:textId="555124C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E2EFDA"/>
            <w:noWrap/>
            <w:vAlign w:val="bottom"/>
          </w:tcPr>
          <w:p w14:paraId="16E7F3E9" w14:textId="3C45051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E2EFDA"/>
            <w:noWrap/>
            <w:vAlign w:val="bottom"/>
          </w:tcPr>
          <w:p w14:paraId="5B84F5C1" w14:textId="77BDC6B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16D4CB3A" w14:textId="56316D8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8" w:space="0" w:color="auto"/>
            </w:tcBorders>
            <w:shd w:val="clear" w:color="000000" w:fill="E2EFDA"/>
            <w:noWrap/>
            <w:vAlign w:val="bottom"/>
          </w:tcPr>
          <w:p w14:paraId="7C8528F0" w14:textId="58B553D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r>
      <w:tr w:rsidR="00683982" w:rsidRPr="001232F0" w14:paraId="13A32469"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ADD9A13" w14:textId="77777777" w:rsidR="004C3614" w:rsidRPr="001232F0" w:rsidRDefault="004C3614"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126C9BAE" w14:textId="1B59DD7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6B9D0E57" w14:textId="614CDF62"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033C1F4A" w14:textId="16C23F8E"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E2EFDA"/>
            <w:noWrap/>
            <w:vAlign w:val="bottom"/>
          </w:tcPr>
          <w:p w14:paraId="3488FAC7" w14:textId="4AB571B7"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0609742C" w14:textId="603A945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8" w:space="0" w:color="auto"/>
            </w:tcBorders>
            <w:shd w:val="clear" w:color="000000" w:fill="E2EFDA"/>
            <w:noWrap/>
            <w:vAlign w:val="bottom"/>
          </w:tcPr>
          <w:p w14:paraId="33BA783A" w14:textId="2893124E"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600%</w:t>
            </w:r>
          </w:p>
        </w:tc>
      </w:tr>
      <w:tr w:rsidR="00683982" w:rsidRPr="001232F0" w14:paraId="6507F1B6"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4B893BA" w14:textId="77777777" w:rsidR="004C3614" w:rsidRPr="001232F0" w:rsidRDefault="004C3614"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680840A0" w14:textId="7317CCB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1FA43649" w14:textId="1F11F1E7"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79C3412B" w14:textId="7763772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E2EFDA"/>
            <w:noWrap/>
            <w:vAlign w:val="bottom"/>
          </w:tcPr>
          <w:p w14:paraId="52A806BB" w14:textId="5EA1B2C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1317145F" w14:textId="6C1484F3"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8" w:space="0" w:color="auto"/>
            </w:tcBorders>
            <w:shd w:val="clear" w:color="000000" w:fill="E2EFDA"/>
            <w:noWrap/>
            <w:vAlign w:val="bottom"/>
          </w:tcPr>
          <w:p w14:paraId="77752B38" w14:textId="4C5C0917"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2700%</w:t>
            </w:r>
          </w:p>
        </w:tc>
      </w:tr>
      <w:tr w:rsidR="00683982" w:rsidRPr="001232F0" w14:paraId="19640FD4"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CD0C262" w14:textId="77777777" w:rsidR="004C3614" w:rsidRPr="001232F0" w:rsidRDefault="004C3614"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6FBE1FB0" w14:textId="78F39F8C"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6BD286F7" w14:textId="77BBA465"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06909E75" w14:textId="050401B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E2EFDA"/>
            <w:noWrap/>
            <w:vAlign w:val="bottom"/>
          </w:tcPr>
          <w:p w14:paraId="751B9131" w14:textId="310D266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3D9E08D3" w14:textId="5ABF529E"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8" w:space="0" w:color="auto"/>
            </w:tcBorders>
            <w:shd w:val="clear" w:color="000000" w:fill="E2EFDA"/>
            <w:noWrap/>
            <w:vAlign w:val="bottom"/>
          </w:tcPr>
          <w:p w14:paraId="72C56296" w14:textId="14F7B6D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6000%</w:t>
            </w:r>
          </w:p>
        </w:tc>
      </w:tr>
      <w:tr w:rsidR="00683982" w:rsidRPr="001232F0" w14:paraId="7DDCF95A"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EBFEAE5" w14:textId="77777777" w:rsidR="004C3614" w:rsidRPr="001232F0" w:rsidRDefault="004C3614"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13A3137C" w14:textId="6C62BE79"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722F29AD" w14:textId="51B232E3"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25%</w:t>
            </w:r>
          </w:p>
        </w:tc>
        <w:tc>
          <w:tcPr>
            <w:tcW w:w="1266" w:type="dxa"/>
            <w:tcBorders>
              <w:top w:val="nil"/>
              <w:left w:val="nil"/>
              <w:bottom w:val="single" w:sz="4" w:space="0" w:color="auto"/>
              <w:right w:val="single" w:sz="4" w:space="0" w:color="auto"/>
            </w:tcBorders>
            <w:shd w:val="clear" w:color="000000" w:fill="E2EFDA"/>
            <w:noWrap/>
            <w:vAlign w:val="bottom"/>
          </w:tcPr>
          <w:p w14:paraId="165EC371" w14:textId="752AE45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25%</w:t>
            </w:r>
          </w:p>
        </w:tc>
        <w:tc>
          <w:tcPr>
            <w:tcW w:w="1154" w:type="dxa"/>
            <w:tcBorders>
              <w:top w:val="nil"/>
              <w:left w:val="nil"/>
              <w:bottom w:val="single" w:sz="4" w:space="0" w:color="auto"/>
              <w:right w:val="single" w:sz="4" w:space="0" w:color="auto"/>
            </w:tcBorders>
            <w:shd w:val="clear" w:color="000000" w:fill="E2EFDA"/>
            <w:noWrap/>
            <w:vAlign w:val="bottom"/>
          </w:tcPr>
          <w:p w14:paraId="4C7C879D" w14:textId="4266802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25%</w:t>
            </w:r>
          </w:p>
        </w:tc>
        <w:tc>
          <w:tcPr>
            <w:tcW w:w="1154" w:type="dxa"/>
            <w:tcBorders>
              <w:top w:val="nil"/>
              <w:left w:val="nil"/>
              <w:bottom w:val="single" w:sz="4" w:space="0" w:color="auto"/>
              <w:right w:val="single" w:sz="4" w:space="0" w:color="auto"/>
            </w:tcBorders>
            <w:shd w:val="clear" w:color="000000" w:fill="E2EFDA"/>
            <w:noWrap/>
            <w:vAlign w:val="bottom"/>
          </w:tcPr>
          <w:p w14:paraId="606B6966" w14:textId="6349FAF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125%</w:t>
            </w:r>
          </w:p>
        </w:tc>
        <w:tc>
          <w:tcPr>
            <w:tcW w:w="1266" w:type="dxa"/>
            <w:tcBorders>
              <w:top w:val="nil"/>
              <w:left w:val="nil"/>
              <w:bottom w:val="single" w:sz="4" w:space="0" w:color="auto"/>
              <w:right w:val="single" w:sz="8" w:space="0" w:color="auto"/>
            </w:tcBorders>
            <w:shd w:val="clear" w:color="000000" w:fill="E2EFDA"/>
            <w:noWrap/>
            <w:vAlign w:val="bottom"/>
          </w:tcPr>
          <w:p w14:paraId="13B76651" w14:textId="20785E4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925%</w:t>
            </w:r>
          </w:p>
        </w:tc>
      </w:tr>
      <w:tr w:rsidR="00683982" w:rsidRPr="001232F0" w14:paraId="7A8E70A9"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1570049" w14:textId="77777777" w:rsidR="004C3614" w:rsidRPr="001232F0" w:rsidRDefault="004C3614"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21B2BD79" w14:textId="0B8B715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100%</w:t>
            </w:r>
          </w:p>
        </w:tc>
        <w:tc>
          <w:tcPr>
            <w:tcW w:w="1043" w:type="dxa"/>
            <w:tcBorders>
              <w:top w:val="nil"/>
              <w:left w:val="nil"/>
              <w:bottom w:val="single" w:sz="4" w:space="0" w:color="auto"/>
              <w:right w:val="single" w:sz="4" w:space="0" w:color="auto"/>
            </w:tcBorders>
            <w:shd w:val="clear" w:color="000000" w:fill="FFFF00"/>
            <w:noWrap/>
            <w:vAlign w:val="bottom"/>
          </w:tcPr>
          <w:p w14:paraId="611B9356" w14:textId="6FA662D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100%</w:t>
            </w:r>
          </w:p>
        </w:tc>
        <w:tc>
          <w:tcPr>
            <w:tcW w:w="1266" w:type="dxa"/>
            <w:tcBorders>
              <w:top w:val="nil"/>
              <w:left w:val="nil"/>
              <w:bottom w:val="single" w:sz="4" w:space="0" w:color="auto"/>
              <w:right w:val="single" w:sz="4" w:space="0" w:color="auto"/>
            </w:tcBorders>
            <w:shd w:val="clear" w:color="000000" w:fill="E2EFDA"/>
            <w:noWrap/>
            <w:vAlign w:val="bottom"/>
          </w:tcPr>
          <w:p w14:paraId="79F035E9" w14:textId="605728B2"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200%</w:t>
            </w:r>
          </w:p>
        </w:tc>
        <w:tc>
          <w:tcPr>
            <w:tcW w:w="1154" w:type="dxa"/>
            <w:tcBorders>
              <w:top w:val="nil"/>
              <w:left w:val="nil"/>
              <w:bottom w:val="single" w:sz="4" w:space="0" w:color="auto"/>
              <w:right w:val="single" w:sz="4" w:space="0" w:color="auto"/>
            </w:tcBorders>
            <w:shd w:val="clear" w:color="000000" w:fill="E2EFDA"/>
            <w:noWrap/>
            <w:vAlign w:val="bottom"/>
          </w:tcPr>
          <w:p w14:paraId="0F512C86" w14:textId="2EBD355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200%</w:t>
            </w:r>
          </w:p>
        </w:tc>
        <w:tc>
          <w:tcPr>
            <w:tcW w:w="1154" w:type="dxa"/>
            <w:tcBorders>
              <w:top w:val="nil"/>
              <w:left w:val="nil"/>
              <w:bottom w:val="single" w:sz="4" w:space="0" w:color="auto"/>
              <w:right w:val="single" w:sz="4" w:space="0" w:color="auto"/>
            </w:tcBorders>
            <w:shd w:val="clear" w:color="000000" w:fill="E2EFDA"/>
            <w:noWrap/>
            <w:vAlign w:val="bottom"/>
          </w:tcPr>
          <w:p w14:paraId="3825D457" w14:textId="46ED398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300%</w:t>
            </w:r>
          </w:p>
        </w:tc>
        <w:tc>
          <w:tcPr>
            <w:tcW w:w="1266" w:type="dxa"/>
            <w:tcBorders>
              <w:top w:val="nil"/>
              <w:left w:val="nil"/>
              <w:bottom w:val="single" w:sz="4" w:space="0" w:color="auto"/>
              <w:right w:val="single" w:sz="8" w:space="0" w:color="auto"/>
            </w:tcBorders>
            <w:shd w:val="clear" w:color="000000" w:fill="E2EFDA"/>
            <w:noWrap/>
            <w:vAlign w:val="bottom"/>
          </w:tcPr>
          <w:p w14:paraId="1E4FE845" w14:textId="66744F14"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2900%</w:t>
            </w:r>
          </w:p>
        </w:tc>
      </w:tr>
      <w:tr w:rsidR="00683982" w:rsidRPr="001232F0" w14:paraId="6068B070"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584FC2E" w14:textId="77777777" w:rsidR="004C3614" w:rsidRPr="001232F0" w:rsidRDefault="004C3614"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E2EFDA"/>
            <w:noWrap/>
            <w:vAlign w:val="bottom"/>
          </w:tcPr>
          <w:p w14:paraId="19CB430F" w14:textId="104DD8B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200%</w:t>
            </w:r>
          </w:p>
        </w:tc>
        <w:tc>
          <w:tcPr>
            <w:tcW w:w="1043" w:type="dxa"/>
            <w:tcBorders>
              <w:top w:val="nil"/>
              <w:left w:val="nil"/>
              <w:bottom w:val="single" w:sz="8" w:space="0" w:color="auto"/>
              <w:right w:val="single" w:sz="4" w:space="0" w:color="auto"/>
            </w:tcBorders>
            <w:shd w:val="clear" w:color="000000" w:fill="FFFF00"/>
            <w:noWrap/>
            <w:vAlign w:val="bottom"/>
          </w:tcPr>
          <w:p w14:paraId="25D861D4" w14:textId="397105B7"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300%</w:t>
            </w:r>
          </w:p>
        </w:tc>
        <w:tc>
          <w:tcPr>
            <w:tcW w:w="1266" w:type="dxa"/>
            <w:tcBorders>
              <w:top w:val="nil"/>
              <w:left w:val="nil"/>
              <w:bottom w:val="single" w:sz="8" w:space="0" w:color="auto"/>
              <w:right w:val="single" w:sz="4" w:space="0" w:color="auto"/>
            </w:tcBorders>
            <w:shd w:val="clear" w:color="000000" w:fill="E2EFDA"/>
            <w:noWrap/>
            <w:vAlign w:val="bottom"/>
          </w:tcPr>
          <w:p w14:paraId="792DD183" w14:textId="367E6E2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300%</w:t>
            </w:r>
          </w:p>
        </w:tc>
        <w:tc>
          <w:tcPr>
            <w:tcW w:w="1154" w:type="dxa"/>
            <w:tcBorders>
              <w:top w:val="nil"/>
              <w:left w:val="nil"/>
              <w:bottom w:val="single" w:sz="8" w:space="0" w:color="auto"/>
              <w:right w:val="single" w:sz="4" w:space="0" w:color="auto"/>
            </w:tcBorders>
            <w:shd w:val="clear" w:color="000000" w:fill="E2EFDA"/>
            <w:noWrap/>
            <w:vAlign w:val="bottom"/>
          </w:tcPr>
          <w:p w14:paraId="6DCB8413" w14:textId="45376B1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700%</w:t>
            </w:r>
          </w:p>
        </w:tc>
        <w:tc>
          <w:tcPr>
            <w:tcW w:w="1154" w:type="dxa"/>
            <w:tcBorders>
              <w:top w:val="nil"/>
              <w:left w:val="nil"/>
              <w:bottom w:val="single" w:sz="8" w:space="0" w:color="auto"/>
              <w:right w:val="single" w:sz="4" w:space="0" w:color="auto"/>
            </w:tcBorders>
            <w:shd w:val="clear" w:color="000000" w:fill="E2EFDA"/>
            <w:noWrap/>
            <w:vAlign w:val="bottom"/>
          </w:tcPr>
          <w:p w14:paraId="3396C5EA" w14:textId="7B04F009"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1200%</w:t>
            </w:r>
          </w:p>
        </w:tc>
        <w:tc>
          <w:tcPr>
            <w:tcW w:w="1266" w:type="dxa"/>
            <w:tcBorders>
              <w:top w:val="nil"/>
              <w:left w:val="nil"/>
              <w:bottom w:val="single" w:sz="8" w:space="0" w:color="auto"/>
              <w:right w:val="single" w:sz="8" w:space="0" w:color="auto"/>
            </w:tcBorders>
            <w:shd w:val="clear" w:color="000000" w:fill="E2EFDA"/>
            <w:noWrap/>
            <w:vAlign w:val="bottom"/>
          </w:tcPr>
          <w:p w14:paraId="3A3362F9" w14:textId="5E0BA82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4800%</w:t>
            </w:r>
          </w:p>
        </w:tc>
      </w:tr>
    </w:tbl>
    <w:p w14:paraId="2E4C3D93" w14:textId="77777777" w:rsidR="002C2B44" w:rsidRDefault="002C2B44" w:rsidP="0046618F">
      <w:pPr>
        <w:pStyle w:val="TableFootnote"/>
        <w:rPr>
          <w:lang w:eastAsia="en-AU"/>
        </w:rPr>
      </w:pPr>
    </w:p>
    <w:p w14:paraId="64261C27" w14:textId="77777777" w:rsidR="002C2B44" w:rsidRDefault="002C2B44">
      <w:pPr>
        <w:spacing w:after="160" w:line="259" w:lineRule="auto"/>
        <w:jc w:val="left"/>
        <w:rPr>
          <w:b/>
          <w:bCs/>
          <w:sz w:val="18"/>
          <w:szCs w:val="18"/>
          <w:lang w:eastAsia="en-AU"/>
        </w:rPr>
      </w:pPr>
      <w:r>
        <w:rPr>
          <w:lang w:eastAsia="en-AU"/>
        </w:rPr>
        <w:br w:type="page"/>
      </w:r>
    </w:p>
    <w:p w14:paraId="2B45AB8E" w14:textId="49D59236" w:rsidR="00AB49A4" w:rsidRDefault="00AB49A4" w:rsidP="00AB49A4">
      <w:pPr>
        <w:pStyle w:val="CaptionTable"/>
        <w:rPr>
          <w:lang w:eastAsia="en-AU"/>
        </w:rPr>
      </w:pPr>
      <w:bookmarkStart w:id="45" w:name="_Toc501111527"/>
      <w:r>
        <w:rPr>
          <w:lang w:eastAsia="en-AU"/>
        </w:rPr>
        <w:t>Increase in number TIs with forecast  LOR2</w:t>
      </w:r>
      <w:r w:rsidR="004C3614">
        <w:rPr>
          <w:lang w:eastAsia="en-AU"/>
        </w:rPr>
        <w:t xml:space="preserve"> conditions in Qld</w:t>
      </w:r>
      <w:r>
        <w:rPr>
          <w:lang w:eastAsia="en-AU"/>
        </w:rPr>
        <w:t xml:space="preserve"> Region </w:t>
      </w:r>
      <w:r w:rsidR="002C2B44">
        <w:rPr>
          <w:lang w:eastAsia="en-AU"/>
        </w:rPr>
        <w:t>(in the six-year period)</w:t>
      </w:r>
      <w:bookmarkEnd w:id="45"/>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AB49A4" w:rsidRPr="00367906" w14:paraId="6014D20D" w14:textId="77777777" w:rsidTr="0046618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2AD32B86" w14:textId="77777777" w:rsidR="00AB49A4" w:rsidRPr="001232F0" w:rsidRDefault="00AB49A4"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02396B5B"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6FD833F5"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544E3D29"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588D21BD"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39543351"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6E41743A"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683982" w:rsidRPr="001232F0" w14:paraId="5CE2A43E"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9CB15AA" w14:textId="77777777" w:rsidR="004C3614" w:rsidRPr="001232F0" w:rsidRDefault="004C3614" w:rsidP="0046618F">
            <w:pPr>
              <w:pStyle w:val="TableNumber"/>
              <w:rPr>
                <w:lang w:eastAsia="en-AU"/>
              </w:rPr>
            </w:pPr>
            <w:r w:rsidRPr="001232F0">
              <w:rPr>
                <w:lang w:eastAsia="en-AU"/>
              </w:rPr>
              <w:t>2</w:t>
            </w:r>
          </w:p>
        </w:tc>
        <w:tc>
          <w:tcPr>
            <w:tcW w:w="997"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1F0AE58A" w14:textId="00BA3FD5"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00149D41" w14:textId="2FBA878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31E169FB" w14:textId="4BB7C1B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E2EFDA"/>
            <w:noWrap/>
            <w:vAlign w:val="bottom"/>
          </w:tcPr>
          <w:p w14:paraId="2FAB91D6" w14:textId="403A0A1A"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64068313" w14:textId="2883CA5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8" w:space="0" w:color="auto"/>
            </w:tcBorders>
            <w:shd w:val="clear" w:color="000000" w:fill="E2EFDA"/>
            <w:noWrap/>
            <w:vAlign w:val="bottom"/>
          </w:tcPr>
          <w:p w14:paraId="68DF62EA" w14:textId="75E2389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r>
      <w:tr w:rsidR="00683982" w:rsidRPr="001232F0" w14:paraId="4F148630"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DC3B450" w14:textId="77777777" w:rsidR="004C3614" w:rsidRPr="001232F0" w:rsidRDefault="004C3614"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57E96071" w14:textId="126527B6"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2F25A0CD" w14:textId="20CA18E7"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51969277" w14:textId="5F49503C"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187DCFB3" w14:textId="5560F30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2D95D228" w14:textId="0DD9EFC3"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8" w:space="0" w:color="auto"/>
            </w:tcBorders>
            <w:shd w:val="clear" w:color="000000" w:fill="E2EFDA"/>
            <w:noWrap/>
            <w:vAlign w:val="bottom"/>
          </w:tcPr>
          <w:p w14:paraId="67AC10FC" w14:textId="4741EB3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w:t>
            </w:r>
          </w:p>
        </w:tc>
      </w:tr>
      <w:tr w:rsidR="00683982" w:rsidRPr="001232F0" w14:paraId="6AB736C4"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16CB5D4" w14:textId="77777777" w:rsidR="004C3614" w:rsidRPr="001232F0" w:rsidRDefault="004C3614"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2288706A" w14:textId="275DA1EA"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674D69A6" w14:textId="3FB7813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1FDAE8A9" w14:textId="00416B4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2C1C6FB1" w14:textId="1274BA75"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59F59A0A" w14:textId="65718AA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8" w:space="0" w:color="auto"/>
            </w:tcBorders>
            <w:shd w:val="clear" w:color="000000" w:fill="E2EFDA"/>
            <w:noWrap/>
            <w:vAlign w:val="bottom"/>
          </w:tcPr>
          <w:p w14:paraId="3E234913" w14:textId="62022753"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27</w:t>
            </w:r>
          </w:p>
        </w:tc>
      </w:tr>
      <w:tr w:rsidR="00683982" w:rsidRPr="001232F0" w14:paraId="48A3778B"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1BCE761" w14:textId="77777777" w:rsidR="004C3614" w:rsidRPr="001232F0" w:rsidRDefault="004C3614"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1705367A" w14:textId="5CCD0B3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3E07AFAD" w14:textId="1E9D309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47EB5305" w14:textId="490073A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29DCB21F" w14:textId="2EE7D355"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12AA17CC" w14:textId="2583E48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8" w:space="0" w:color="auto"/>
            </w:tcBorders>
            <w:shd w:val="clear" w:color="000000" w:fill="E2EFDA"/>
            <w:noWrap/>
            <w:vAlign w:val="bottom"/>
          </w:tcPr>
          <w:p w14:paraId="225F99FE" w14:textId="5B2D6C1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60</w:t>
            </w:r>
          </w:p>
        </w:tc>
      </w:tr>
      <w:tr w:rsidR="00683982" w:rsidRPr="001232F0" w14:paraId="2E2D5B74"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22DFA45" w14:textId="77777777" w:rsidR="004C3614" w:rsidRPr="001232F0" w:rsidRDefault="004C3614"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78E6FCAF" w14:textId="1FC4B30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FFFF00"/>
            <w:noWrap/>
            <w:vAlign w:val="bottom"/>
          </w:tcPr>
          <w:p w14:paraId="5078BAB0" w14:textId="1079C93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E2EFDA"/>
            <w:noWrap/>
            <w:vAlign w:val="bottom"/>
          </w:tcPr>
          <w:p w14:paraId="429EC82E" w14:textId="3A8C8AE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6072692C" w14:textId="2EACDC79"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20399C5F" w14:textId="73E230A9"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134" w:type="dxa"/>
            <w:tcBorders>
              <w:top w:val="nil"/>
              <w:left w:val="nil"/>
              <w:bottom w:val="single" w:sz="4" w:space="0" w:color="auto"/>
              <w:right w:val="single" w:sz="8" w:space="0" w:color="auto"/>
            </w:tcBorders>
            <w:shd w:val="clear" w:color="000000" w:fill="E2EFDA"/>
            <w:noWrap/>
            <w:vAlign w:val="bottom"/>
          </w:tcPr>
          <w:p w14:paraId="5D30A4C1" w14:textId="732D0D8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37</w:t>
            </w:r>
          </w:p>
        </w:tc>
      </w:tr>
      <w:tr w:rsidR="00683982" w:rsidRPr="001232F0" w14:paraId="14C4A904" w14:textId="77777777" w:rsidTr="002C2B4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D1A34BA" w14:textId="77777777" w:rsidR="004C3614" w:rsidRPr="001232F0" w:rsidRDefault="004C3614"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11659745" w14:textId="4DDC4D6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134" w:type="dxa"/>
            <w:tcBorders>
              <w:top w:val="nil"/>
              <w:left w:val="nil"/>
              <w:bottom w:val="single" w:sz="4" w:space="0" w:color="auto"/>
              <w:right w:val="single" w:sz="4" w:space="0" w:color="auto"/>
            </w:tcBorders>
            <w:shd w:val="clear" w:color="000000" w:fill="FFFF00"/>
            <w:noWrap/>
            <w:vAlign w:val="bottom"/>
          </w:tcPr>
          <w:p w14:paraId="0168E16D" w14:textId="76A7D66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134" w:type="dxa"/>
            <w:tcBorders>
              <w:top w:val="nil"/>
              <w:left w:val="nil"/>
              <w:bottom w:val="single" w:sz="4" w:space="0" w:color="auto"/>
              <w:right w:val="single" w:sz="4" w:space="0" w:color="auto"/>
            </w:tcBorders>
            <w:shd w:val="clear" w:color="000000" w:fill="E2EFDA"/>
            <w:noWrap/>
            <w:vAlign w:val="bottom"/>
          </w:tcPr>
          <w:p w14:paraId="2F9CBE48" w14:textId="17A1CD9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276" w:type="dxa"/>
            <w:tcBorders>
              <w:top w:val="nil"/>
              <w:left w:val="nil"/>
              <w:bottom w:val="single" w:sz="4" w:space="0" w:color="auto"/>
              <w:right w:val="single" w:sz="4" w:space="0" w:color="auto"/>
            </w:tcBorders>
            <w:shd w:val="clear" w:color="000000" w:fill="E2EFDA"/>
            <w:noWrap/>
            <w:vAlign w:val="bottom"/>
          </w:tcPr>
          <w:p w14:paraId="2B3CA607" w14:textId="5D0964D1"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276" w:type="dxa"/>
            <w:tcBorders>
              <w:top w:val="nil"/>
              <w:left w:val="nil"/>
              <w:bottom w:val="single" w:sz="4" w:space="0" w:color="auto"/>
              <w:right w:val="single" w:sz="4" w:space="0" w:color="auto"/>
            </w:tcBorders>
            <w:shd w:val="clear" w:color="000000" w:fill="E2EFDA"/>
            <w:noWrap/>
            <w:vAlign w:val="bottom"/>
          </w:tcPr>
          <w:p w14:paraId="50BA1FAA" w14:textId="2160A1A4"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12</w:t>
            </w:r>
          </w:p>
        </w:tc>
        <w:tc>
          <w:tcPr>
            <w:tcW w:w="1134" w:type="dxa"/>
            <w:tcBorders>
              <w:top w:val="nil"/>
              <w:left w:val="nil"/>
              <w:bottom w:val="single" w:sz="4" w:space="0" w:color="auto"/>
              <w:right w:val="single" w:sz="8" w:space="0" w:color="auto"/>
            </w:tcBorders>
            <w:shd w:val="clear" w:color="000000" w:fill="E2EFDA"/>
            <w:noWrap/>
            <w:vAlign w:val="bottom"/>
          </w:tcPr>
          <w:p w14:paraId="0F5D9909" w14:textId="2FB60705"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116</w:t>
            </w:r>
          </w:p>
        </w:tc>
      </w:tr>
      <w:tr w:rsidR="00683982" w:rsidRPr="001232F0" w14:paraId="7663A6F4" w14:textId="77777777" w:rsidTr="002C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794C183" w14:textId="77777777" w:rsidR="004C3614" w:rsidRPr="001232F0" w:rsidRDefault="004C3614"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E2EFDA"/>
            <w:noWrap/>
            <w:vAlign w:val="bottom"/>
          </w:tcPr>
          <w:p w14:paraId="00D0AE3D" w14:textId="041A0745"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134" w:type="dxa"/>
            <w:tcBorders>
              <w:top w:val="nil"/>
              <w:left w:val="nil"/>
              <w:bottom w:val="nil"/>
              <w:right w:val="single" w:sz="4" w:space="0" w:color="auto"/>
            </w:tcBorders>
            <w:shd w:val="clear" w:color="000000" w:fill="FFFF00"/>
            <w:noWrap/>
            <w:vAlign w:val="bottom"/>
          </w:tcPr>
          <w:p w14:paraId="60B8FFFF" w14:textId="06FE4284"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w:t>
            </w:r>
          </w:p>
        </w:tc>
        <w:tc>
          <w:tcPr>
            <w:tcW w:w="1134" w:type="dxa"/>
            <w:tcBorders>
              <w:top w:val="nil"/>
              <w:left w:val="nil"/>
              <w:bottom w:val="nil"/>
              <w:right w:val="single" w:sz="4" w:space="0" w:color="auto"/>
            </w:tcBorders>
            <w:shd w:val="clear" w:color="000000" w:fill="E2EFDA"/>
            <w:noWrap/>
            <w:vAlign w:val="bottom"/>
          </w:tcPr>
          <w:p w14:paraId="3441CF6D" w14:textId="3B3FC65B"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w:t>
            </w:r>
          </w:p>
        </w:tc>
        <w:tc>
          <w:tcPr>
            <w:tcW w:w="1276" w:type="dxa"/>
            <w:tcBorders>
              <w:top w:val="nil"/>
              <w:left w:val="nil"/>
              <w:bottom w:val="nil"/>
              <w:right w:val="single" w:sz="4" w:space="0" w:color="auto"/>
            </w:tcBorders>
            <w:shd w:val="clear" w:color="000000" w:fill="E2EFDA"/>
            <w:noWrap/>
            <w:vAlign w:val="bottom"/>
          </w:tcPr>
          <w:p w14:paraId="5BBF5C37" w14:textId="371D83BA"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28</w:t>
            </w:r>
          </w:p>
        </w:tc>
        <w:tc>
          <w:tcPr>
            <w:tcW w:w="1276" w:type="dxa"/>
            <w:tcBorders>
              <w:top w:val="nil"/>
              <w:left w:val="nil"/>
              <w:bottom w:val="nil"/>
              <w:right w:val="single" w:sz="4" w:space="0" w:color="auto"/>
            </w:tcBorders>
            <w:shd w:val="clear" w:color="000000" w:fill="E2EFDA"/>
            <w:noWrap/>
            <w:vAlign w:val="bottom"/>
          </w:tcPr>
          <w:p w14:paraId="57419F18" w14:textId="4FDC2DDA"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48</w:t>
            </w:r>
          </w:p>
        </w:tc>
        <w:tc>
          <w:tcPr>
            <w:tcW w:w="1134" w:type="dxa"/>
            <w:tcBorders>
              <w:top w:val="nil"/>
              <w:left w:val="nil"/>
              <w:bottom w:val="nil"/>
              <w:right w:val="single" w:sz="8" w:space="0" w:color="auto"/>
            </w:tcBorders>
            <w:shd w:val="clear" w:color="000000" w:fill="E2EFDA"/>
            <w:noWrap/>
            <w:vAlign w:val="bottom"/>
          </w:tcPr>
          <w:p w14:paraId="0B8131E4" w14:textId="12341384"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192</w:t>
            </w:r>
          </w:p>
        </w:tc>
      </w:tr>
    </w:tbl>
    <w:p w14:paraId="6808E882" w14:textId="77777777" w:rsidR="00AB49A4" w:rsidRDefault="00AB49A4" w:rsidP="0046618F">
      <w:pPr>
        <w:pStyle w:val="TableFootnote"/>
        <w:rPr>
          <w:lang w:eastAsia="en-AU"/>
        </w:rPr>
      </w:pPr>
    </w:p>
    <w:p w14:paraId="38CCA575" w14:textId="21D11F7A" w:rsidR="00AB49A4" w:rsidRDefault="00AB49A4" w:rsidP="004C3614">
      <w:pPr>
        <w:pStyle w:val="CaptionTable"/>
        <w:rPr>
          <w:lang w:eastAsia="en-AU"/>
        </w:rPr>
      </w:pPr>
      <w:bookmarkStart w:id="46" w:name="_Toc501111528"/>
      <w:r>
        <w:rPr>
          <w:lang w:eastAsia="en-AU"/>
        </w:rPr>
        <w:t xml:space="preserve">Percentage Increase in forecast </w:t>
      </w:r>
      <w:r w:rsidR="004C3614">
        <w:rPr>
          <w:lang w:eastAsia="en-AU"/>
        </w:rPr>
        <w:t xml:space="preserve"> LOR1 conditions in Qld</w:t>
      </w:r>
      <w:r>
        <w:rPr>
          <w:lang w:eastAsia="en-AU"/>
        </w:rPr>
        <w:t xml:space="preserve"> Region</w:t>
      </w:r>
      <w:r w:rsidR="002C2B44">
        <w:rPr>
          <w:lang w:eastAsia="en-AU"/>
        </w:rPr>
        <w:t xml:space="preserve"> (in the six-year period)</w:t>
      </w:r>
      <w:bookmarkEnd w:id="46"/>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AB49A4" w:rsidRPr="00367906" w14:paraId="0F630784" w14:textId="77777777" w:rsidTr="0046618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1DF4585E" w14:textId="77777777" w:rsidR="00AB49A4" w:rsidRPr="001232F0" w:rsidRDefault="00AB49A4"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41EEBFFA"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7F47ABA3"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7B9099E7"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756D1F56"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76582026"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2DD64007"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4C3614" w:rsidRPr="001232F0" w14:paraId="4458C35A"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524048E" w14:textId="77777777" w:rsidR="004C3614" w:rsidRPr="001232F0" w:rsidRDefault="004C3614"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31CF9EDE" w14:textId="78B2FF1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BDD7EE"/>
            <w:noWrap/>
            <w:vAlign w:val="bottom"/>
          </w:tcPr>
          <w:p w14:paraId="050E77FA" w14:textId="279F6C2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171D76AF" w14:textId="71214D15"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BDD7EE"/>
            <w:noWrap/>
            <w:vAlign w:val="bottom"/>
          </w:tcPr>
          <w:p w14:paraId="605EC847" w14:textId="2F505CAE"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2F36282E" w14:textId="5A99599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4BB04520" w14:textId="053E1E5E"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r>
      <w:tr w:rsidR="004C3614" w:rsidRPr="001232F0" w14:paraId="7A93527D"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C4B2EA9" w14:textId="77777777" w:rsidR="004C3614" w:rsidRPr="001232F0" w:rsidRDefault="004C3614"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0B49D081" w14:textId="4C72DE56"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29D0A6CD" w14:textId="3BB34C9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449BDA51" w14:textId="59B18584"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2A133915" w14:textId="0666D17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3E81A46F" w14:textId="31A5D409"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E8E0CF2" w14:textId="1FAB3D09"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21%</w:t>
            </w:r>
          </w:p>
        </w:tc>
      </w:tr>
      <w:tr w:rsidR="004C3614" w:rsidRPr="001232F0" w14:paraId="34C20882"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0D0768E" w14:textId="77777777" w:rsidR="004C3614" w:rsidRPr="001232F0" w:rsidRDefault="004C3614"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5860E3DA" w14:textId="545091F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1811F9DE" w14:textId="5F1B329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4AB6629" w14:textId="70E5CBA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3E7AE253" w14:textId="30DF0C14"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0B49632C" w14:textId="49587ABB"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196E3A5F" w14:textId="77EF52E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23%</w:t>
            </w:r>
          </w:p>
        </w:tc>
      </w:tr>
      <w:tr w:rsidR="004C3614" w:rsidRPr="001232F0" w14:paraId="5788FED7"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2CD2D55" w14:textId="77777777" w:rsidR="004C3614" w:rsidRPr="001232F0" w:rsidRDefault="004C3614"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6450E201" w14:textId="6C3BD79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0DFB2F30" w14:textId="28962131"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784DEA59" w14:textId="3EA2F8F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60245516" w14:textId="432CD415"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6CE11776" w14:textId="54E8E876"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124E0E58" w14:textId="32F7688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70%</w:t>
            </w:r>
          </w:p>
        </w:tc>
      </w:tr>
      <w:tr w:rsidR="004C3614" w:rsidRPr="001232F0" w14:paraId="71B6C6C3"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DA552C6" w14:textId="77777777" w:rsidR="004C3614" w:rsidRPr="001232F0" w:rsidRDefault="004C3614"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0A655983" w14:textId="33DA7BF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6D27B96C" w14:textId="4651B8B7"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28016556" w14:textId="48FD007C"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58996CE2" w14:textId="353FC6E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10F2EF60" w14:textId="2C5CE41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52D5DE1C" w14:textId="3633378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19%</w:t>
            </w:r>
          </w:p>
        </w:tc>
      </w:tr>
      <w:tr w:rsidR="004C3614" w:rsidRPr="001232F0" w14:paraId="2FC7A677"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BF42AF1" w14:textId="77777777" w:rsidR="004C3614" w:rsidRPr="001232F0" w:rsidRDefault="004C3614"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31201C05" w14:textId="40AC96F3"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37DFB5B2" w14:textId="65CAE78A"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1C4A4B41" w14:textId="028F48C5"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6935AB11" w14:textId="41A227BD"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4AF09CB1" w14:textId="6CD58563"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BB81343" w14:textId="64C5313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55%</w:t>
            </w:r>
          </w:p>
        </w:tc>
      </w:tr>
      <w:tr w:rsidR="004C3614" w:rsidRPr="001232F0" w14:paraId="214E836C"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949F4C1" w14:textId="77777777" w:rsidR="004C3614" w:rsidRPr="001232F0" w:rsidRDefault="004C3614"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BDD7EE"/>
            <w:noWrap/>
            <w:vAlign w:val="bottom"/>
          </w:tcPr>
          <w:p w14:paraId="453F5B91" w14:textId="6EAC24A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043" w:type="dxa"/>
            <w:tcBorders>
              <w:top w:val="nil"/>
              <w:left w:val="nil"/>
              <w:bottom w:val="single" w:sz="8" w:space="0" w:color="auto"/>
              <w:right w:val="single" w:sz="4" w:space="0" w:color="auto"/>
            </w:tcBorders>
            <w:shd w:val="clear" w:color="000000" w:fill="FFFF00"/>
            <w:noWrap/>
            <w:vAlign w:val="bottom"/>
          </w:tcPr>
          <w:p w14:paraId="2AA8A025" w14:textId="135D0CAB"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266" w:type="dxa"/>
            <w:tcBorders>
              <w:top w:val="nil"/>
              <w:left w:val="nil"/>
              <w:bottom w:val="single" w:sz="8" w:space="0" w:color="auto"/>
              <w:right w:val="single" w:sz="4" w:space="0" w:color="auto"/>
            </w:tcBorders>
            <w:shd w:val="clear" w:color="000000" w:fill="BDD7EE"/>
            <w:noWrap/>
            <w:vAlign w:val="bottom"/>
          </w:tcPr>
          <w:p w14:paraId="22147672" w14:textId="02942F0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154" w:type="dxa"/>
            <w:tcBorders>
              <w:top w:val="nil"/>
              <w:left w:val="nil"/>
              <w:bottom w:val="single" w:sz="8" w:space="0" w:color="auto"/>
              <w:right w:val="single" w:sz="4" w:space="0" w:color="auto"/>
            </w:tcBorders>
            <w:shd w:val="clear" w:color="000000" w:fill="BDD7EE"/>
            <w:noWrap/>
            <w:vAlign w:val="bottom"/>
          </w:tcPr>
          <w:p w14:paraId="0610C670" w14:textId="7398E687"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154" w:type="dxa"/>
            <w:tcBorders>
              <w:top w:val="nil"/>
              <w:left w:val="nil"/>
              <w:bottom w:val="single" w:sz="8" w:space="0" w:color="auto"/>
              <w:right w:val="single" w:sz="4" w:space="0" w:color="auto"/>
            </w:tcBorders>
            <w:shd w:val="clear" w:color="000000" w:fill="BDD7EE"/>
            <w:noWrap/>
            <w:vAlign w:val="bottom"/>
          </w:tcPr>
          <w:p w14:paraId="4C99740E" w14:textId="22CAD6F3"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266" w:type="dxa"/>
            <w:tcBorders>
              <w:top w:val="nil"/>
              <w:left w:val="nil"/>
              <w:bottom w:val="single" w:sz="8" w:space="0" w:color="auto"/>
              <w:right w:val="single" w:sz="4" w:space="0" w:color="auto"/>
            </w:tcBorders>
            <w:shd w:val="clear" w:color="000000" w:fill="BDD7EE"/>
            <w:noWrap/>
            <w:vAlign w:val="bottom"/>
          </w:tcPr>
          <w:p w14:paraId="36060DDC" w14:textId="0541023E"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145%</w:t>
            </w:r>
          </w:p>
        </w:tc>
      </w:tr>
    </w:tbl>
    <w:p w14:paraId="0005FAFF" w14:textId="77777777" w:rsidR="002C2B44" w:rsidRDefault="002C2B44" w:rsidP="0046618F">
      <w:pPr>
        <w:pStyle w:val="TableFootnote"/>
        <w:rPr>
          <w:lang w:eastAsia="en-AU"/>
        </w:rPr>
      </w:pPr>
    </w:p>
    <w:p w14:paraId="5C14792F" w14:textId="01428380" w:rsidR="00AB49A4" w:rsidRDefault="00AB49A4" w:rsidP="004C3614">
      <w:pPr>
        <w:pStyle w:val="CaptionTable"/>
        <w:rPr>
          <w:lang w:eastAsia="en-AU"/>
        </w:rPr>
      </w:pPr>
      <w:bookmarkStart w:id="47" w:name="_Toc501111529"/>
      <w:r>
        <w:rPr>
          <w:lang w:eastAsia="en-AU"/>
        </w:rPr>
        <w:t>Increase in number TIs with forecast  LOR1</w:t>
      </w:r>
      <w:r w:rsidR="004C3614">
        <w:rPr>
          <w:lang w:eastAsia="en-AU"/>
        </w:rPr>
        <w:t xml:space="preserve"> conditions in Qld</w:t>
      </w:r>
      <w:r>
        <w:rPr>
          <w:lang w:eastAsia="en-AU"/>
        </w:rPr>
        <w:t xml:space="preserve"> Region</w:t>
      </w:r>
      <w:r w:rsidR="002C2B44">
        <w:rPr>
          <w:lang w:eastAsia="en-AU"/>
        </w:rPr>
        <w:t xml:space="preserve"> (in the six-year period)</w:t>
      </w:r>
      <w:bookmarkEnd w:id="47"/>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886"/>
        <w:gridCol w:w="111"/>
        <w:gridCol w:w="1134"/>
        <w:gridCol w:w="1134"/>
        <w:gridCol w:w="1276"/>
        <w:gridCol w:w="1276"/>
        <w:gridCol w:w="1134"/>
      </w:tblGrid>
      <w:tr w:rsidR="00AB49A4" w:rsidRPr="00367906" w14:paraId="3B9F0131" w14:textId="77777777" w:rsidTr="0046618F">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1879EDB2" w14:textId="77777777" w:rsidR="00AB49A4" w:rsidRPr="001232F0" w:rsidRDefault="00AB49A4" w:rsidP="0046618F">
            <w:pPr>
              <w:pStyle w:val="TableTitle"/>
              <w:rPr>
                <w:lang w:eastAsia="en-AU"/>
              </w:rPr>
            </w:pPr>
            <w:r w:rsidRPr="001232F0">
              <w:rPr>
                <w:lang w:eastAsia="en-AU"/>
              </w:rPr>
              <w:t>Forecasting horizon (hrs)</w:t>
            </w:r>
          </w:p>
        </w:tc>
        <w:tc>
          <w:tcPr>
            <w:tcW w:w="997" w:type="dxa"/>
            <w:gridSpan w:val="2"/>
            <w:shd w:val="clear" w:color="auto" w:fill="BFBFBF" w:themeFill="background1" w:themeFillShade="BF"/>
            <w:hideMark/>
          </w:tcPr>
          <w:p w14:paraId="18A0958A"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63959ABC"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7D5E02B3"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1A9A7628"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32B38A04"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2CC278BF" w14:textId="77777777" w:rsidR="00AB49A4" w:rsidRPr="001232F0" w:rsidRDefault="00AB49A4"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4C3614" w:rsidRPr="001232F0" w14:paraId="3AB22B42"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DFD8B6B" w14:textId="77777777" w:rsidR="004C3614" w:rsidRPr="001232F0" w:rsidRDefault="004C3614" w:rsidP="0046618F">
            <w:pPr>
              <w:pStyle w:val="TableNumber"/>
              <w:rPr>
                <w:lang w:eastAsia="en-AU"/>
              </w:rPr>
            </w:pPr>
            <w:r w:rsidRPr="001232F0">
              <w:rPr>
                <w:lang w:eastAsia="en-AU"/>
              </w:rPr>
              <w:t>2</w:t>
            </w:r>
          </w:p>
        </w:tc>
        <w:tc>
          <w:tcPr>
            <w:tcW w:w="886"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62DA60CF" w14:textId="15BCD63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45" w:type="dxa"/>
            <w:gridSpan w:val="2"/>
            <w:tcBorders>
              <w:top w:val="single" w:sz="8" w:space="0" w:color="auto"/>
              <w:left w:val="nil"/>
              <w:bottom w:val="single" w:sz="4" w:space="0" w:color="auto"/>
              <w:right w:val="single" w:sz="4" w:space="0" w:color="auto"/>
            </w:tcBorders>
            <w:shd w:val="clear" w:color="000000" w:fill="BDD7EE"/>
            <w:noWrap/>
            <w:vAlign w:val="bottom"/>
          </w:tcPr>
          <w:p w14:paraId="6EC0D657" w14:textId="2E4420E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76EBAC15" w14:textId="0BAFBFC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BDD7EE"/>
            <w:noWrap/>
            <w:vAlign w:val="bottom"/>
          </w:tcPr>
          <w:p w14:paraId="4A3591CC" w14:textId="3F1FC5B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042715CE" w14:textId="1E853B82"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6A7C3961" w14:textId="143B9B0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r>
      <w:tr w:rsidR="004C3614" w:rsidRPr="001232F0" w14:paraId="4436953F"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03267D4" w14:textId="77777777" w:rsidR="004C3614" w:rsidRPr="001232F0" w:rsidRDefault="004C3614" w:rsidP="0046618F">
            <w:pPr>
              <w:pStyle w:val="TableNumber"/>
              <w:rPr>
                <w:lang w:eastAsia="en-AU"/>
              </w:rPr>
            </w:pPr>
            <w:r w:rsidRPr="001232F0">
              <w:rPr>
                <w:lang w:eastAsia="en-AU"/>
              </w:rPr>
              <w:t>6</w:t>
            </w:r>
          </w:p>
        </w:tc>
        <w:tc>
          <w:tcPr>
            <w:tcW w:w="886" w:type="dxa"/>
            <w:tcBorders>
              <w:top w:val="nil"/>
              <w:left w:val="single" w:sz="4" w:space="0" w:color="auto"/>
              <w:bottom w:val="single" w:sz="4" w:space="0" w:color="auto"/>
              <w:right w:val="single" w:sz="4" w:space="0" w:color="auto"/>
            </w:tcBorders>
            <w:shd w:val="clear" w:color="000000" w:fill="BDD7EE"/>
            <w:noWrap/>
            <w:vAlign w:val="bottom"/>
          </w:tcPr>
          <w:p w14:paraId="08C61C97" w14:textId="2410052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45" w:type="dxa"/>
            <w:gridSpan w:val="2"/>
            <w:tcBorders>
              <w:top w:val="nil"/>
              <w:left w:val="nil"/>
              <w:bottom w:val="single" w:sz="4" w:space="0" w:color="auto"/>
              <w:right w:val="single" w:sz="4" w:space="0" w:color="auto"/>
            </w:tcBorders>
            <w:shd w:val="clear" w:color="000000" w:fill="BDD7EE"/>
            <w:noWrap/>
            <w:vAlign w:val="bottom"/>
          </w:tcPr>
          <w:p w14:paraId="334387E6" w14:textId="2B2C07B3"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40C1617D" w14:textId="79412F52"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55C5D791" w14:textId="189513F9"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21EBC9BE" w14:textId="72847D1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6DA73F5C" w14:textId="0B8E65F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w:t>
            </w:r>
          </w:p>
        </w:tc>
      </w:tr>
      <w:tr w:rsidR="004C3614" w:rsidRPr="001232F0" w14:paraId="045876DE"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D087038" w14:textId="77777777" w:rsidR="004C3614" w:rsidRPr="001232F0" w:rsidRDefault="004C3614" w:rsidP="0046618F">
            <w:pPr>
              <w:pStyle w:val="TableNumber"/>
              <w:rPr>
                <w:lang w:eastAsia="en-AU"/>
              </w:rPr>
            </w:pPr>
            <w:r w:rsidRPr="001232F0">
              <w:rPr>
                <w:lang w:eastAsia="en-AU"/>
              </w:rPr>
              <w:t>9</w:t>
            </w:r>
          </w:p>
        </w:tc>
        <w:tc>
          <w:tcPr>
            <w:tcW w:w="886" w:type="dxa"/>
            <w:tcBorders>
              <w:top w:val="nil"/>
              <w:left w:val="single" w:sz="4" w:space="0" w:color="auto"/>
              <w:bottom w:val="single" w:sz="4" w:space="0" w:color="auto"/>
              <w:right w:val="single" w:sz="4" w:space="0" w:color="auto"/>
            </w:tcBorders>
            <w:shd w:val="clear" w:color="000000" w:fill="BDD7EE"/>
            <w:noWrap/>
            <w:vAlign w:val="bottom"/>
          </w:tcPr>
          <w:p w14:paraId="47C6087C" w14:textId="014FB1B8"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45" w:type="dxa"/>
            <w:gridSpan w:val="2"/>
            <w:tcBorders>
              <w:top w:val="nil"/>
              <w:left w:val="nil"/>
              <w:bottom w:val="single" w:sz="4" w:space="0" w:color="auto"/>
              <w:right w:val="single" w:sz="4" w:space="0" w:color="auto"/>
            </w:tcBorders>
            <w:shd w:val="clear" w:color="000000" w:fill="BDD7EE"/>
            <w:noWrap/>
            <w:vAlign w:val="bottom"/>
          </w:tcPr>
          <w:p w14:paraId="13404581" w14:textId="5F4C433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3B73224" w14:textId="52B11733"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460B6578" w14:textId="4ED3ED8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3E4096FE" w14:textId="692A602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4EED656A" w14:textId="2EC5D24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w:t>
            </w:r>
          </w:p>
        </w:tc>
      </w:tr>
      <w:tr w:rsidR="004C3614" w:rsidRPr="001232F0" w14:paraId="2D8A4221"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0D4D094" w14:textId="77777777" w:rsidR="004C3614" w:rsidRPr="001232F0" w:rsidRDefault="004C3614" w:rsidP="0046618F">
            <w:pPr>
              <w:pStyle w:val="TableNumber"/>
              <w:rPr>
                <w:lang w:eastAsia="en-AU"/>
              </w:rPr>
            </w:pPr>
            <w:r w:rsidRPr="001232F0">
              <w:rPr>
                <w:lang w:eastAsia="en-AU"/>
              </w:rPr>
              <w:t>12</w:t>
            </w:r>
          </w:p>
        </w:tc>
        <w:tc>
          <w:tcPr>
            <w:tcW w:w="886" w:type="dxa"/>
            <w:tcBorders>
              <w:top w:val="nil"/>
              <w:left w:val="single" w:sz="4" w:space="0" w:color="auto"/>
              <w:bottom w:val="single" w:sz="4" w:space="0" w:color="auto"/>
              <w:right w:val="single" w:sz="4" w:space="0" w:color="auto"/>
            </w:tcBorders>
            <w:shd w:val="clear" w:color="000000" w:fill="BDD7EE"/>
            <w:noWrap/>
            <w:vAlign w:val="bottom"/>
          </w:tcPr>
          <w:p w14:paraId="0F52A4DF" w14:textId="03E523F2"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45" w:type="dxa"/>
            <w:gridSpan w:val="2"/>
            <w:tcBorders>
              <w:top w:val="nil"/>
              <w:left w:val="nil"/>
              <w:bottom w:val="single" w:sz="4" w:space="0" w:color="auto"/>
              <w:right w:val="single" w:sz="4" w:space="0" w:color="auto"/>
            </w:tcBorders>
            <w:shd w:val="clear" w:color="000000" w:fill="BDD7EE"/>
            <w:noWrap/>
            <w:vAlign w:val="bottom"/>
          </w:tcPr>
          <w:p w14:paraId="708BB016" w14:textId="1976EB2C"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39EF3B39" w14:textId="6F36EA7B"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9BFBDAB" w14:textId="12D91CA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3BDC194C" w14:textId="65220547"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05C339BA" w14:textId="31267D11"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39</w:t>
            </w:r>
          </w:p>
        </w:tc>
      </w:tr>
      <w:tr w:rsidR="004C3614" w:rsidRPr="001232F0" w14:paraId="3A4D4A05"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C17B040" w14:textId="77777777" w:rsidR="004C3614" w:rsidRPr="001232F0" w:rsidRDefault="004C3614" w:rsidP="0046618F">
            <w:pPr>
              <w:pStyle w:val="TableNumber"/>
              <w:rPr>
                <w:lang w:eastAsia="en-AU"/>
              </w:rPr>
            </w:pPr>
            <w:r w:rsidRPr="001232F0">
              <w:rPr>
                <w:lang w:eastAsia="en-AU"/>
              </w:rPr>
              <w:t>24</w:t>
            </w:r>
          </w:p>
        </w:tc>
        <w:tc>
          <w:tcPr>
            <w:tcW w:w="886" w:type="dxa"/>
            <w:tcBorders>
              <w:top w:val="nil"/>
              <w:left w:val="single" w:sz="4" w:space="0" w:color="auto"/>
              <w:bottom w:val="single" w:sz="4" w:space="0" w:color="auto"/>
              <w:right w:val="single" w:sz="4" w:space="0" w:color="auto"/>
            </w:tcBorders>
            <w:shd w:val="clear" w:color="000000" w:fill="BDD7EE"/>
            <w:noWrap/>
            <w:vAlign w:val="bottom"/>
          </w:tcPr>
          <w:p w14:paraId="23D14CEF" w14:textId="7A56A022"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45" w:type="dxa"/>
            <w:gridSpan w:val="2"/>
            <w:tcBorders>
              <w:top w:val="nil"/>
              <w:left w:val="nil"/>
              <w:bottom w:val="single" w:sz="4" w:space="0" w:color="auto"/>
              <w:right w:val="single" w:sz="4" w:space="0" w:color="auto"/>
            </w:tcBorders>
            <w:shd w:val="clear" w:color="000000" w:fill="FFFF00"/>
            <w:noWrap/>
            <w:vAlign w:val="bottom"/>
          </w:tcPr>
          <w:p w14:paraId="2F8143D1" w14:textId="03CA018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0D137E59" w14:textId="1310A319"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3FE2D281" w14:textId="40854C91"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7BB28536" w14:textId="5E78977E"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0AAD6D78" w14:textId="0B14FA0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w:t>
            </w:r>
          </w:p>
        </w:tc>
      </w:tr>
      <w:tr w:rsidR="004C3614" w:rsidRPr="001232F0" w14:paraId="13B3A8E5" w14:textId="77777777" w:rsidTr="00AB49A4">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21D68D9" w14:textId="77777777" w:rsidR="004C3614" w:rsidRPr="001232F0" w:rsidRDefault="004C3614" w:rsidP="0046618F">
            <w:pPr>
              <w:pStyle w:val="TableNumber"/>
              <w:rPr>
                <w:lang w:eastAsia="en-AU"/>
              </w:rPr>
            </w:pPr>
            <w:r w:rsidRPr="001232F0">
              <w:rPr>
                <w:lang w:eastAsia="en-AU"/>
              </w:rPr>
              <w:t>48</w:t>
            </w:r>
          </w:p>
        </w:tc>
        <w:tc>
          <w:tcPr>
            <w:tcW w:w="886" w:type="dxa"/>
            <w:tcBorders>
              <w:top w:val="nil"/>
              <w:left w:val="single" w:sz="4" w:space="0" w:color="auto"/>
              <w:bottom w:val="single" w:sz="4" w:space="0" w:color="auto"/>
              <w:right w:val="single" w:sz="4" w:space="0" w:color="auto"/>
            </w:tcBorders>
            <w:shd w:val="clear" w:color="000000" w:fill="BDD7EE"/>
            <w:noWrap/>
            <w:vAlign w:val="bottom"/>
          </w:tcPr>
          <w:p w14:paraId="7D4C2E29" w14:textId="082761AF"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45" w:type="dxa"/>
            <w:gridSpan w:val="2"/>
            <w:tcBorders>
              <w:top w:val="nil"/>
              <w:left w:val="nil"/>
              <w:bottom w:val="single" w:sz="4" w:space="0" w:color="auto"/>
              <w:right w:val="single" w:sz="4" w:space="0" w:color="auto"/>
            </w:tcBorders>
            <w:shd w:val="clear" w:color="000000" w:fill="FFFF00"/>
            <w:noWrap/>
            <w:vAlign w:val="bottom"/>
          </w:tcPr>
          <w:p w14:paraId="6E93D939" w14:textId="195EB596"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39014323" w14:textId="11C6F038"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0079710E" w14:textId="75E768E0"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4DF2E9AC" w14:textId="645A738C"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7AFB3F2D" w14:textId="604CD4B7" w:rsidR="004C3614" w:rsidRPr="001232F0" w:rsidRDefault="004C3614"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44</w:t>
            </w:r>
          </w:p>
        </w:tc>
      </w:tr>
      <w:tr w:rsidR="004C3614" w:rsidRPr="001232F0" w14:paraId="4497D294" w14:textId="77777777" w:rsidTr="00AB49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E63234B" w14:textId="77777777" w:rsidR="004C3614" w:rsidRPr="001232F0" w:rsidRDefault="004C3614" w:rsidP="0046618F">
            <w:pPr>
              <w:pStyle w:val="TableNumber"/>
              <w:rPr>
                <w:lang w:eastAsia="en-AU"/>
              </w:rPr>
            </w:pPr>
            <w:r w:rsidRPr="001232F0">
              <w:rPr>
                <w:lang w:eastAsia="en-AU"/>
              </w:rPr>
              <w:t>72</w:t>
            </w:r>
          </w:p>
        </w:tc>
        <w:tc>
          <w:tcPr>
            <w:tcW w:w="886" w:type="dxa"/>
            <w:tcBorders>
              <w:top w:val="nil"/>
              <w:left w:val="single" w:sz="4" w:space="0" w:color="auto"/>
              <w:bottom w:val="nil"/>
              <w:right w:val="single" w:sz="4" w:space="0" w:color="auto"/>
            </w:tcBorders>
            <w:shd w:val="clear" w:color="000000" w:fill="BDD7EE"/>
            <w:noWrap/>
            <w:vAlign w:val="bottom"/>
          </w:tcPr>
          <w:p w14:paraId="6C4DE6BC" w14:textId="77D790B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p>
        </w:tc>
        <w:tc>
          <w:tcPr>
            <w:tcW w:w="1245" w:type="dxa"/>
            <w:gridSpan w:val="2"/>
            <w:tcBorders>
              <w:top w:val="nil"/>
              <w:left w:val="nil"/>
              <w:bottom w:val="nil"/>
              <w:right w:val="single" w:sz="4" w:space="0" w:color="auto"/>
            </w:tcBorders>
            <w:shd w:val="clear" w:color="000000" w:fill="FFFF00"/>
            <w:noWrap/>
            <w:vAlign w:val="bottom"/>
          </w:tcPr>
          <w:p w14:paraId="0399A91F" w14:textId="1FA62570"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p>
        </w:tc>
        <w:tc>
          <w:tcPr>
            <w:tcW w:w="1134" w:type="dxa"/>
            <w:tcBorders>
              <w:top w:val="nil"/>
              <w:left w:val="nil"/>
              <w:bottom w:val="nil"/>
              <w:right w:val="single" w:sz="4" w:space="0" w:color="auto"/>
            </w:tcBorders>
            <w:shd w:val="clear" w:color="000000" w:fill="BDD7EE"/>
            <w:noWrap/>
            <w:vAlign w:val="bottom"/>
          </w:tcPr>
          <w:p w14:paraId="38F9B040" w14:textId="7342D26F"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p>
        </w:tc>
        <w:tc>
          <w:tcPr>
            <w:tcW w:w="1276" w:type="dxa"/>
            <w:tcBorders>
              <w:top w:val="nil"/>
              <w:left w:val="nil"/>
              <w:bottom w:val="nil"/>
              <w:right w:val="single" w:sz="4" w:space="0" w:color="auto"/>
            </w:tcBorders>
            <w:shd w:val="clear" w:color="000000" w:fill="BDD7EE"/>
            <w:noWrap/>
            <w:vAlign w:val="bottom"/>
          </w:tcPr>
          <w:p w14:paraId="5DEB649C" w14:textId="5DF322E5"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p>
        </w:tc>
        <w:tc>
          <w:tcPr>
            <w:tcW w:w="1276" w:type="dxa"/>
            <w:tcBorders>
              <w:top w:val="nil"/>
              <w:left w:val="nil"/>
              <w:bottom w:val="nil"/>
              <w:right w:val="single" w:sz="4" w:space="0" w:color="auto"/>
            </w:tcBorders>
            <w:shd w:val="clear" w:color="000000" w:fill="BDD7EE"/>
            <w:noWrap/>
            <w:vAlign w:val="bottom"/>
          </w:tcPr>
          <w:p w14:paraId="2A7F9AF3" w14:textId="1E756B5D"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p>
        </w:tc>
        <w:tc>
          <w:tcPr>
            <w:tcW w:w="1134" w:type="dxa"/>
            <w:tcBorders>
              <w:top w:val="nil"/>
              <w:left w:val="nil"/>
              <w:bottom w:val="nil"/>
              <w:right w:val="single" w:sz="4" w:space="0" w:color="auto"/>
            </w:tcBorders>
            <w:shd w:val="clear" w:color="000000" w:fill="BDD7EE"/>
            <w:noWrap/>
            <w:vAlign w:val="bottom"/>
          </w:tcPr>
          <w:p w14:paraId="7C6833CA" w14:textId="5A08D4C6" w:rsidR="004C3614" w:rsidRPr="001232F0" w:rsidRDefault="004C3614"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116</w:t>
            </w:r>
          </w:p>
        </w:tc>
      </w:tr>
    </w:tbl>
    <w:p w14:paraId="499A1DD1" w14:textId="0E0512D6" w:rsidR="00DF6D78" w:rsidRDefault="00DF6D78" w:rsidP="0046618F">
      <w:pPr>
        <w:pStyle w:val="TableFootnote"/>
        <w:rPr>
          <w:lang w:eastAsia="en-AU"/>
        </w:rPr>
      </w:pPr>
    </w:p>
    <w:p w14:paraId="1B8D9764" w14:textId="77777777" w:rsidR="001A1FDA" w:rsidRDefault="001A1FDA">
      <w:pPr>
        <w:spacing w:after="160" w:line="259" w:lineRule="auto"/>
        <w:jc w:val="left"/>
        <w:rPr>
          <w:rFonts w:asciiTheme="majorHAnsi" w:eastAsiaTheme="majorEastAsia" w:hAnsiTheme="majorHAnsi" w:cstheme="majorBidi"/>
          <w:b/>
          <w:bCs/>
          <w:noProof/>
          <w:color w:val="1E4164" w:themeColor="accent6"/>
          <w:sz w:val="28"/>
          <w:szCs w:val="26"/>
          <w:lang w:eastAsia="en-AU"/>
        </w:rPr>
      </w:pPr>
      <w:r>
        <w:br w:type="page"/>
      </w:r>
    </w:p>
    <w:p w14:paraId="06FB5444" w14:textId="2FB14E2B" w:rsidR="002B2BD0" w:rsidRDefault="002B2BD0" w:rsidP="002B2BD0">
      <w:pPr>
        <w:pStyle w:val="AppendixHeading2"/>
      </w:pPr>
      <w:bookmarkStart w:id="48" w:name="_Toc501453676"/>
      <w:bookmarkStart w:id="49" w:name="_Toc501111567"/>
      <w:bookmarkStart w:id="50" w:name="_Toc501453677"/>
      <w:bookmarkStart w:id="51" w:name="_Toc501453678"/>
      <w:bookmarkEnd w:id="48"/>
      <w:bookmarkEnd w:id="49"/>
      <w:bookmarkEnd w:id="50"/>
      <w:r>
        <w:t>South Australia</w:t>
      </w:r>
      <w:bookmarkEnd w:id="51"/>
      <w:r>
        <w:t xml:space="preserve"> </w:t>
      </w:r>
    </w:p>
    <w:p w14:paraId="5E00BCFE" w14:textId="2808F004" w:rsidR="00DF6D78" w:rsidRDefault="00DF6D78" w:rsidP="00DF6D78">
      <w:pPr>
        <w:pStyle w:val="CaptionTable"/>
        <w:rPr>
          <w:lang w:eastAsia="en-AU"/>
        </w:rPr>
      </w:pPr>
      <w:bookmarkStart w:id="52" w:name="_Toc501013316"/>
      <w:bookmarkStart w:id="53" w:name="_Toc501111530"/>
      <w:bookmarkEnd w:id="52"/>
      <w:r>
        <w:rPr>
          <w:lang w:eastAsia="en-AU"/>
        </w:rPr>
        <w:t>Percentage Increase in forecast  LOR2 conditions in SA Region</w:t>
      </w:r>
      <w:r w:rsidR="001A1FDA">
        <w:rPr>
          <w:lang w:eastAsia="en-AU"/>
        </w:rPr>
        <w:t xml:space="preserve"> (in the six-year period)</w:t>
      </w:r>
      <w:bookmarkEnd w:id="53"/>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DF6D78" w:rsidRPr="00367906" w14:paraId="4EE050D5" w14:textId="77777777" w:rsidTr="0046618F">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D5F3BCE" w14:textId="77777777" w:rsidR="00DF6D78" w:rsidRPr="001232F0" w:rsidRDefault="00DF6D78"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29863E61"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1E13E256"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7BDEC193"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2BB5176B"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5D5036D1"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6953CCAF"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60D51" w:rsidRPr="001232F0" w14:paraId="74BC5FEB"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E89CD81" w14:textId="77777777" w:rsidR="00A60D51" w:rsidRPr="001232F0" w:rsidRDefault="00A60D51"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579D8456" w14:textId="0B3DB89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E2EFDA"/>
            <w:noWrap/>
            <w:vAlign w:val="bottom"/>
          </w:tcPr>
          <w:p w14:paraId="50EAB31B" w14:textId="6F14108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E2EFDA"/>
            <w:noWrap/>
            <w:vAlign w:val="bottom"/>
          </w:tcPr>
          <w:p w14:paraId="56E5E0CF" w14:textId="5043A2C1"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E2EFDA"/>
            <w:noWrap/>
            <w:vAlign w:val="bottom"/>
          </w:tcPr>
          <w:p w14:paraId="4BEE4269" w14:textId="0010912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0E768E7D" w14:textId="18A6DB00"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8" w:space="0" w:color="auto"/>
            </w:tcBorders>
            <w:shd w:val="clear" w:color="000000" w:fill="E2EFDA"/>
            <w:noWrap/>
            <w:vAlign w:val="bottom"/>
          </w:tcPr>
          <w:p w14:paraId="75450ACD" w14:textId="44D6DFBB"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344%</w:t>
            </w:r>
          </w:p>
        </w:tc>
      </w:tr>
      <w:tr w:rsidR="00A60D51" w:rsidRPr="001232F0" w14:paraId="7618490E"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9B8A78A" w14:textId="77777777" w:rsidR="00A60D51" w:rsidRPr="001232F0" w:rsidRDefault="00A60D51"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3C004C00" w14:textId="1A4D596A"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72706102" w14:textId="5DF70DA1"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5C466EBA" w14:textId="5721A20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E2EFDA"/>
            <w:noWrap/>
            <w:vAlign w:val="bottom"/>
          </w:tcPr>
          <w:p w14:paraId="1512D015" w14:textId="40A9B302"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p>
        </w:tc>
        <w:tc>
          <w:tcPr>
            <w:tcW w:w="1154" w:type="dxa"/>
            <w:tcBorders>
              <w:top w:val="nil"/>
              <w:left w:val="nil"/>
              <w:bottom w:val="single" w:sz="4" w:space="0" w:color="auto"/>
              <w:right w:val="single" w:sz="4" w:space="0" w:color="auto"/>
            </w:tcBorders>
            <w:shd w:val="clear" w:color="000000" w:fill="FFFF00"/>
            <w:noWrap/>
            <w:vAlign w:val="bottom"/>
          </w:tcPr>
          <w:p w14:paraId="0DC5686F" w14:textId="7B9EE01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p>
        </w:tc>
        <w:tc>
          <w:tcPr>
            <w:tcW w:w="1266" w:type="dxa"/>
            <w:tcBorders>
              <w:top w:val="nil"/>
              <w:left w:val="nil"/>
              <w:bottom w:val="single" w:sz="4" w:space="0" w:color="auto"/>
              <w:right w:val="single" w:sz="8" w:space="0" w:color="auto"/>
            </w:tcBorders>
            <w:shd w:val="clear" w:color="000000" w:fill="E2EFDA"/>
            <w:noWrap/>
            <w:vAlign w:val="bottom"/>
          </w:tcPr>
          <w:p w14:paraId="694423A4" w14:textId="7FEE8D9B"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348%</w:t>
            </w:r>
          </w:p>
        </w:tc>
      </w:tr>
      <w:tr w:rsidR="00A60D51" w:rsidRPr="001232F0" w14:paraId="34AEA703"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CB78F4E" w14:textId="77777777" w:rsidR="00A60D51" w:rsidRPr="001232F0" w:rsidRDefault="00A60D51"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4901687F" w14:textId="1B485A8B"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56129CB6" w14:textId="6F51389B"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2312E463" w14:textId="7AEBD56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54" w:type="dxa"/>
            <w:tcBorders>
              <w:top w:val="nil"/>
              <w:left w:val="nil"/>
              <w:bottom w:val="single" w:sz="4" w:space="0" w:color="auto"/>
              <w:right w:val="single" w:sz="4" w:space="0" w:color="auto"/>
            </w:tcBorders>
            <w:shd w:val="clear" w:color="000000" w:fill="E2EFDA"/>
            <w:noWrap/>
            <w:vAlign w:val="bottom"/>
          </w:tcPr>
          <w:p w14:paraId="26D05D84" w14:textId="213C945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54" w:type="dxa"/>
            <w:tcBorders>
              <w:top w:val="nil"/>
              <w:left w:val="nil"/>
              <w:bottom w:val="single" w:sz="4" w:space="0" w:color="auto"/>
              <w:right w:val="single" w:sz="4" w:space="0" w:color="auto"/>
            </w:tcBorders>
            <w:shd w:val="clear" w:color="000000" w:fill="FFFF00"/>
            <w:noWrap/>
            <w:vAlign w:val="bottom"/>
          </w:tcPr>
          <w:p w14:paraId="22A06998" w14:textId="01AB070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13%</w:t>
            </w:r>
          </w:p>
        </w:tc>
        <w:tc>
          <w:tcPr>
            <w:tcW w:w="1266" w:type="dxa"/>
            <w:tcBorders>
              <w:top w:val="nil"/>
              <w:left w:val="nil"/>
              <w:bottom w:val="single" w:sz="4" w:space="0" w:color="auto"/>
              <w:right w:val="single" w:sz="8" w:space="0" w:color="auto"/>
            </w:tcBorders>
            <w:shd w:val="clear" w:color="000000" w:fill="E2EFDA"/>
            <w:noWrap/>
            <w:vAlign w:val="bottom"/>
          </w:tcPr>
          <w:p w14:paraId="7EFFC17C" w14:textId="717CBB9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435%</w:t>
            </w:r>
          </w:p>
        </w:tc>
      </w:tr>
      <w:tr w:rsidR="00A60D51" w:rsidRPr="001232F0" w14:paraId="21792FB0"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B49E666" w14:textId="77777777" w:rsidR="00A60D51" w:rsidRPr="001232F0" w:rsidRDefault="00A60D51"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4D189565" w14:textId="11027463"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43282253" w14:textId="42C8E56B"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75B9B3CC" w14:textId="5AB416A4"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p>
        </w:tc>
        <w:tc>
          <w:tcPr>
            <w:tcW w:w="1154" w:type="dxa"/>
            <w:tcBorders>
              <w:top w:val="nil"/>
              <w:left w:val="nil"/>
              <w:bottom w:val="single" w:sz="4" w:space="0" w:color="auto"/>
              <w:right w:val="single" w:sz="4" w:space="0" w:color="auto"/>
            </w:tcBorders>
            <w:shd w:val="clear" w:color="000000" w:fill="E2EFDA"/>
            <w:noWrap/>
            <w:vAlign w:val="bottom"/>
          </w:tcPr>
          <w:p w14:paraId="70339DA8" w14:textId="1CCB8AE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w:t>
            </w:r>
          </w:p>
        </w:tc>
        <w:tc>
          <w:tcPr>
            <w:tcW w:w="1154" w:type="dxa"/>
            <w:tcBorders>
              <w:top w:val="nil"/>
              <w:left w:val="nil"/>
              <w:bottom w:val="single" w:sz="4" w:space="0" w:color="auto"/>
              <w:right w:val="single" w:sz="4" w:space="0" w:color="auto"/>
            </w:tcBorders>
            <w:shd w:val="clear" w:color="000000" w:fill="FFFF00"/>
            <w:noWrap/>
            <w:vAlign w:val="bottom"/>
          </w:tcPr>
          <w:p w14:paraId="07341C50" w14:textId="0524539B"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47%</w:t>
            </w:r>
          </w:p>
        </w:tc>
        <w:tc>
          <w:tcPr>
            <w:tcW w:w="1266" w:type="dxa"/>
            <w:tcBorders>
              <w:top w:val="nil"/>
              <w:left w:val="nil"/>
              <w:bottom w:val="single" w:sz="4" w:space="0" w:color="auto"/>
              <w:right w:val="single" w:sz="8" w:space="0" w:color="auto"/>
            </w:tcBorders>
            <w:shd w:val="clear" w:color="000000" w:fill="E2EFDA"/>
            <w:noWrap/>
            <w:vAlign w:val="bottom"/>
          </w:tcPr>
          <w:p w14:paraId="752EDA4A" w14:textId="15B0837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645%</w:t>
            </w:r>
          </w:p>
        </w:tc>
      </w:tr>
      <w:tr w:rsidR="00A60D51" w:rsidRPr="001232F0" w14:paraId="209DFDCD"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1272E81" w14:textId="77777777" w:rsidR="00A60D51" w:rsidRPr="001232F0" w:rsidRDefault="00A60D51"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172FF437" w14:textId="3F03567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400%</w:t>
            </w:r>
          </w:p>
        </w:tc>
        <w:tc>
          <w:tcPr>
            <w:tcW w:w="1043" w:type="dxa"/>
            <w:tcBorders>
              <w:top w:val="nil"/>
              <w:left w:val="nil"/>
              <w:bottom w:val="single" w:sz="4" w:space="0" w:color="auto"/>
              <w:right w:val="single" w:sz="4" w:space="0" w:color="auto"/>
            </w:tcBorders>
            <w:shd w:val="clear" w:color="000000" w:fill="FFFF00"/>
            <w:noWrap/>
            <w:vAlign w:val="bottom"/>
          </w:tcPr>
          <w:p w14:paraId="25B8A44B" w14:textId="47F991A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267%</w:t>
            </w:r>
          </w:p>
        </w:tc>
        <w:tc>
          <w:tcPr>
            <w:tcW w:w="1266" w:type="dxa"/>
            <w:tcBorders>
              <w:top w:val="nil"/>
              <w:left w:val="nil"/>
              <w:bottom w:val="single" w:sz="4" w:space="0" w:color="auto"/>
              <w:right w:val="single" w:sz="4" w:space="0" w:color="auto"/>
            </w:tcBorders>
            <w:shd w:val="clear" w:color="000000" w:fill="E2EFDA"/>
            <w:noWrap/>
            <w:vAlign w:val="bottom"/>
          </w:tcPr>
          <w:p w14:paraId="3783A192" w14:textId="7BCB9F8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166%</w:t>
            </w:r>
          </w:p>
        </w:tc>
        <w:tc>
          <w:tcPr>
            <w:tcW w:w="1154" w:type="dxa"/>
            <w:tcBorders>
              <w:top w:val="nil"/>
              <w:left w:val="nil"/>
              <w:bottom w:val="single" w:sz="4" w:space="0" w:color="auto"/>
              <w:right w:val="single" w:sz="4" w:space="0" w:color="auto"/>
            </w:tcBorders>
            <w:shd w:val="clear" w:color="000000" w:fill="E2EFDA"/>
            <w:noWrap/>
            <w:vAlign w:val="bottom"/>
          </w:tcPr>
          <w:p w14:paraId="4FDA2D16" w14:textId="16685E5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101%</w:t>
            </w:r>
          </w:p>
        </w:tc>
        <w:tc>
          <w:tcPr>
            <w:tcW w:w="1154" w:type="dxa"/>
            <w:tcBorders>
              <w:top w:val="nil"/>
              <w:left w:val="nil"/>
              <w:bottom w:val="single" w:sz="4" w:space="0" w:color="auto"/>
              <w:right w:val="single" w:sz="4" w:space="0" w:color="auto"/>
            </w:tcBorders>
            <w:shd w:val="clear" w:color="000000" w:fill="E2EFDA"/>
            <w:noWrap/>
            <w:vAlign w:val="bottom"/>
          </w:tcPr>
          <w:p w14:paraId="0000970A" w14:textId="008F5B6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238%</w:t>
            </w:r>
          </w:p>
        </w:tc>
        <w:tc>
          <w:tcPr>
            <w:tcW w:w="1266" w:type="dxa"/>
            <w:tcBorders>
              <w:top w:val="nil"/>
              <w:left w:val="nil"/>
              <w:bottom w:val="single" w:sz="4" w:space="0" w:color="auto"/>
              <w:right w:val="single" w:sz="8" w:space="0" w:color="auto"/>
            </w:tcBorders>
            <w:shd w:val="clear" w:color="000000" w:fill="E2EFDA"/>
            <w:noWrap/>
            <w:vAlign w:val="bottom"/>
          </w:tcPr>
          <w:p w14:paraId="31AEF948" w14:textId="4E931CB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1A1FDA">
              <w:t>,</w:t>
            </w:r>
            <w:r>
              <w:t>421%</w:t>
            </w:r>
          </w:p>
        </w:tc>
      </w:tr>
      <w:tr w:rsidR="00A60D51" w:rsidRPr="001232F0" w14:paraId="5661F8F1"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1E5D0A" w14:textId="77777777" w:rsidR="00A60D51" w:rsidRPr="001232F0" w:rsidRDefault="00A60D51"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6FE431FB" w14:textId="7CCCB4A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043" w:type="dxa"/>
            <w:tcBorders>
              <w:top w:val="nil"/>
              <w:left w:val="nil"/>
              <w:bottom w:val="single" w:sz="4" w:space="0" w:color="auto"/>
              <w:right w:val="single" w:sz="4" w:space="0" w:color="auto"/>
            </w:tcBorders>
            <w:shd w:val="clear" w:color="000000" w:fill="FFFF00"/>
            <w:noWrap/>
            <w:vAlign w:val="bottom"/>
          </w:tcPr>
          <w:p w14:paraId="205E52DC" w14:textId="602A384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266" w:type="dxa"/>
            <w:tcBorders>
              <w:top w:val="nil"/>
              <w:left w:val="nil"/>
              <w:bottom w:val="single" w:sz="4" w:space="0" w:color="auto"/>
              <w:right w:val="single" w:sz="4" w:space="0" w:color="auto"/>
            </w:tcBorders>
            <w:shd w:val="clear" w:color="000000" w:fill="E2EFDA"/>
            <w:noWrap/>
            <w:vAlign w:val="bottom"/>
          </w:tcPr>
          <w:p w14:paraId="5D9D9252" w14:textId="56ACD62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10</w:t>
            </w:r>
            <w:r w:rsidR="001A1FDA">
              <w:t>,</w:t>
            </w:r>
            <w:r>
              <w:t>000%</w:t>
            </w:r>
          </w:p>
        </w:tc>
        <w:tc>
          <w:tcPr>
            <w:tcW w:w="1154" w:type="dxa"/>
            <w:tcBorders>
              <w:top w:val="nil"/>
              <w:left w:val="nil"/>
              <w:bottom w:val="single" w:sz="4" w:space="0" w:color="auto"/>
              <w:right w:val="single" w:sz="4" w:space="0" w:color="auto"/>
            </w:tcBorders>
            <w:shd w:val="clear" w:color="000000" w:fill="E2EFDA"/>
            <w:noWrap/>
            <w:vAlign w:val="bottom"/>
          </w:tcPr>
          <w:p w14:paraId="010329D0" w14:textId="60C8DD2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r w:rsidR="001A1FDA">
              <w:t>,</w:t>
            </w:r>
            <w:r>
              <w:t>300%</w:t>
            </w:r>
          </w:p>
        </w:tc>
        <w:tc>
          <w:tcPr>
            <w:tcW w:w="1154" w:type="dxa"/>
            <w:tcBorders>
              <w:top w:val="nil"/>
              <w:left w:val="nil"/>
              <w:bottom w:val="single" w:sz="4" w:space="0" w:color="auto"/>
              <w:right w:val="single" w:sz="4" w:space="0" w:color="auto"/>
            </w:tcBorders>
            <w:shd w:val="clear" w:color="000000" w:fill="E2EFDA"/>
            <w:noWrap/>
            <w:vAlign w:val="bottom"/>
          </w:tcPr>
          <w:p w14:paraId="7167B1C1" w14:textId="2C9E7011"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r w:rsidR="001A1FDA">
              <w:t>,</w:t>
            </w:r>
            <w:r>
              <w:t>450%</w:t>
            </w:r>
          </w:p>
        </w:tc>
        <w:tc>
          <w:tcPr>
            <w:tcW w:w="1266" w:type="dxa"/>
            <w:tcBorders>
              <w:top w:val="nil"/>
              <w:left w:val="nil"/>
              <w:bottom w:val="single" w:sz="4" w:space="0" w:color="auto"/>
              <w:right w:val="single" w:sz="8" w:space="0" w:color="auto"/>
            </w:tcBorders>
            <w:shd w:val="clear" w:color="000000" w:fill="E2EFDA"/>
            <w:noWrap/>
            <w:vAlign w:val="bottom"/>
          </w:tcPr>
          <w:p w14:paraId="321B24DD" w14:textId="4683EFCB"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r w:rsidR="001A1FDA">
              <w:t>,</w:t>
            </w:r>
            <w:r>
              <w:t>725%</w:t>
            </w:r>
          </w:p>
        </w:tc>
      </w:tr>
      <w:tr w:rsidR="00A60D51" w:rsidRPr="001232F0" w14:paraId="3629984E"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7981A68" w14:textId="77777777" w:rsidR="00A60D51" w:rsidRPr="001232F0" w:rsidRDefault="00A60D51"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E2EFDA"/>
            <w:noWrap/>
            <w:vAlign w:val="bottom"/>
          </w:tcPr>
          <w:p w14:paraId="7139CDFD" w14:textId="50DD969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1A1FDA">
              <w:t>,</w:t>
            </w:r>
            <w:r>
              <w:t>083%</w:t>
            </w:r>
          </w:p>
        </w:tc>
        <w:tc>
          <w:tcPr>
            <w:tcW w:w="1043" w:type="dxa"/>
            <w:tcBorders>
              <w:top w:val="nil"/>
              <w:left w:val="nil"/>
              <w:bottom w:val="single" w:sz="8" w:space="0" w:color="auto"/>
              <w:right w:val="single" w:sz="4" w:space="0" w:color="auto"/>
            </w:tcBorders>
            <w:shd w:val="clear" w:color="000000" w:fill="FFFF00"/>
            <w:noWrap/>
            <w:vAlign w:val="bottom"/>
          </w:tcPr>
          <w:p w14:paraId="51A04451" w14:textId="5FE7B237"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1A1FDA">
              <w:t>,</w:t>
            </w:r>
            <w:r>
              <w:t>283%</w:t>
            </w:r>
          </w:p>
        </w:tc>
        <w:tc>
          <w:tcPr>
            <w:tcW w:w="1266" w:type="dxa"/>
            <w:tcBorders>
              <w:top w:val="nil"/>
              <w:left w:val="nil"/>
              <w:bottom w:val="single" w:sz="8" w:space="0" w:color="auto"/>
              <w:right w:val="single" w:sz="4" w:space="0" w:color="auto"/>
            </w:tcBorders>
            <w:shd w:val="clear" w:color="000000" w:fill="E2EFDA"/>
            <w:noWrap/>
            <w:vAlign w:val="bottom"/>
          </w:tcPr>
          <w:p w14:paraId="0C69B65D" w14:textId="3F9F63EA"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r w:rsidR="001A1FDA">
              <w:t>,</w:t>
            </w:r>
            <w:r>
              <w:t>386%</w:t>
            </w:r>
          </w:p>
        </w:tc>
        <w:tc>
          <w:tcPr>
            <w:tcW w:w="1154" w:type="dxa"/>
            <w:tcBorders>
              <w:top w:val="nil"/>
              <w:left w:val="nil"/>
              <w:bottom w:val="single" w:sz="8" w:space="0" w:color="auto"/>
              <w:right w:val="single" w:sz="4" w:space="0" w:color="auto"/>
            </w:tcBorders>
            <w:shd w:val="clear" w:color="000000" w:fill="E2EFDA"/>
            <w:noWrap/>
            <w:vAlign w:val="bottom"/>
          </w:tcPr>
          <w:p w14:paraId="4E85C695" w14:textId="14D7FBA8"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r w:rsidR="001A1FDA">
              <w:t>,</w:t>
            </w:r>
            <w:r>
              <w:t>255%</w:t>
            </w:r>
          </w:p>
        </w:tc>
        <w:tc>
          <w:tcPr>
            <w:tcW w:w="1154" w:type="dxa"/>
            <w:tcBorders>
              <w:top w:val="nil"/>
              <w:left w:val="nil"/>
              <w:bottom w:val="single" w:sz="8" w:space="0" w:color="auto"/>
              <w:right w:val="single" w:sz="4" w:space="0" w:color="auto"/>
            </w:tcBorders>
            <w:shd w:val="clear" w:color="000000" w:fill="E2EFDA"/>
            <w:noWrap/>
            <w:vAlign w:val="bottom"/>
          </w:tcPr>
          <w:p w14:paraId="7D200FD3" w14:textId="3CDE062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r w:rsidR="001A1FDA">
              <w:t>,</w:t>
            </w:r>
            <w:r>
              <w:t>032%</w:t>
            </w:r>
          </w:p>
        </w:tc>
        <w:tc>
          <w:tcPr>
            <w:tcW w:w="1266" w:type="dxa"/>
            <w:tcBorders>
              <w:top w:val="nil"/>
              <w:left w:val="nil"/>
              <w:bottom w:val="single" w:sz="8" w:space="0" w:color="auto"/>
              <w:right w:val="single" w:sz="8" w:space="0" w:color="auto"/>
            </w:tcBorders>
            <w:shd w:val="clear" w:color="000000" w:fill="E2EFDA"/>
            <w:noWrap/>
            <w:vAlign w:val="bottom"/>
          </w:tcPr>
          <w:p w14:paraId="520C1FB7" w14:textId="553DFF9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w:t>
            </w:r>
            <w:r w:rsidR="001A1FDA">
              <w:t>,</w:t>
            </w:r>
            <w:r>
              <w:t>804%</w:t>
            </w:r>
          </w:p>
        </w:tc>
      </w:tr>
    </w:tbl>
    <w:p w14:paraId="7CC11D0C" w14:textId="77777777" w:rsidR="001A1FDA" w:rsidRDefault="001A1FDA" w:rsidP="0046618F">
      <w:pPr>
        <w:pStyle w:val="TableFootnote"/>
        <w:rPr>
          <w:lang w:eastAsia="en-AU"/>
        </w:rPr>
      </w:pPr>
    </w:p>
    <w:p w14:paraId="74C4C698" w14:textId="018CDC1C" w:rsidR="00DF6D78" w:rsidRDefault="00DF6D78" w:rsidP="00DF6D78">
      <w:pPr>
        <w:pStyle w:val="CaptionTable"/>
        <w:rPr>
          <w:lang w:eastAsia="en-AU"/>
        </w:rPr>
      </w:pPr>
      <w:bookmarkStart w:id="54" w:name="_Toc501111531"/>
      <w:r>
        <w:rPr>
          <w:lang w:eastAsia="en-AU"/>
        </w:rPr>
        <w:t xml:space="preserve">Increase in number TIs with forecast  LOR2 conditions in SA Region (in the </w:t>
      </w:r>
      <w:r w:rsidR="001A1FDA">
        <w:rPr>
          <w:lang w:eastAsia="en-AU"/>
        </w:rPr>
        <w:t>six-</w:t>
      </w:r>
      <w:r>
        <w:rPr>
          <w:lang w:eastAsia="en-AU"/>
        </w:rPr>
        <w:t>year period)</w:t>
      </w:r>
      <w:bookmarkEnd w:id="54"/>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DF6D78" w:rsidRPr="00367906" w14:paraId="6EC190F3" w14:textId="77777777" w:rsidTr="0046618F">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3C03A264" w14:textId="77777777" w:rsidR="00DF6D78" w:rsidRPr="001232F0" w:rsidRDefault="00DF6D78"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7279A2D4"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3F688A50"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288EFD19"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1090805A"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1298AF20"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06831B78"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60D51" w:rsidRPr="001232F0" w14:paraId="4BF7F31B"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2E2A9A0" w14:textId="77777777" w:rsidR="00A60D51" w:rsidRPr="001232F0" w:rsidRDefault="00A60D51" w:rsidP="0046618F">
            <w:pPr>
              <w:pStyle w:val="TableNumber"/>
              <w:rPr>
                <w:lang w:eastAsia="en-AU"/>
              </w:rPr>
            </w:pPr>
            <w:r w:rsidRPr="001232F0">
              <w:rPr>
                <w:lang w:eastAsia="en-AU"/>
              </w:rPr>
              <w:t>2</w:t>
            </w:r>
          </w:p>
        </w:tc>
        <w:tc>
          <w:tcPr>
            <w:tcW w:w="997"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1C920F9B" w14:textId="3DBC0AF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2A6D74CB" w14:textId="04F9A77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44264E29" w14:textId="43DFF59D"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E2EFDA"/>
            <w:noWrap/>
            <w:vAlign w:val="bottom"/>
          </w:tcPr>
          <w:p w14:paraId="0C916080" w14:textId="4B3B219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402FCDAA" w14:textId="2008798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8" w:space="0" w:color="auto"/>
            </w:tcBorders>
            <w:shd w:val="clear" w:color="000000" w:fill="E2EFDA"/>
            <w:noWrap/>
            <w:vAlign w:val="bottom"/>
          </w:tcPr>
          <w:p w14:paraId="04F1D152" w14:textId="2802EAF0"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275</w:t>
            </w:r>
          </w:p>
        </w:tc>
      </w:tr>
      <w:tr w:rsidR="00A60D51" w:rsidRPr="001232F0" w14:paraId="449782FC"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236351E" w14:textId="77777777" w:rsidR="00A60D51" w:rsidRPr="001232F0" w:rsidRDefault="00A60D51"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74A07F5C" w14:textId="5F888E5F"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4C42E6DB" w14:textId="3ED563C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3D9F48D5" w14:textId="032AE3B4"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22B9F516" w14:textId="5F1AF08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FFFF00"/>
            <w:noWrap/>
            <w:vAlign w:val="bottom"/>
          </w:tcPr>
          <w:p w14:paraId="52FC216F" w14:textId="2852022A"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8" w:space="0" w:color="auto"/>
            </w:tcBorders>
            <w:shd w:val="clear" w:color="000000" w:fill="E2EFDA"/>
            <w:noWrap/>
            <w:vAlign w:val="bottom"/>
          </w:tcPr>
          <w:p w14:paraId="2D9B945D" w14:textId="7A15D71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230</w:t>
            </w:r>
          </w:p>
        </w:tc>
      </w:tr>
      <w:tr w:rsidR="00A60D51" w:rsidRPr="001232F0" w14:paraId="7B8518D9"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388D72A" w14:textId="77777777" w:rsidR="00A60D51" w:rsidRPr="001232F0" w:rsidRDefault="00A60D51"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33B32307" w14:textId="6624F9E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A5382EE" w14:textId="3CD7797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0D2D7EC" w14:textId="2EC178D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63B2757D" w14:textId="289C17AE"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FFFF00"/>
            <w:noWrap/>
            <w:vAlign w:val="bottom"/>
          </w:tcPr>
          <w:p w14:paraId="505226E2" w14:textId="0363808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w:t>
            </w:r>
          </w:p>
        </w:tc>
        <w:tc>
          <w:tcPr>
            <w:tcW w:w="1134" w:type="dxa"/>
            <w:tcBorders>
              <w:top w:val="nil"/>
              <w:left w:val="nil"/>
              <w:bottom w:val="single" w:sz="4" w:space="0" w:color="auto"/>
              <w:right w:val="single" w:sz="8" w:space="0" w:color="auto"/>
            </w:tcBorders>
            <w:shd w:val="clear" w:color="000000" w:fill="E2EFDA"/>
            <w:noWrap/>
            <w:vAlign w:val="bottom"/>
          </w:tcPr>
          <w:p w14:paraId="7AAA8A35" w14:textId="68668A2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296</w:t>
            </w:r>
          </w:p>
        </w:tc>
      </w:tr>
      <w:tr w:rsidR="00A60D51" w:rsidRPr="001232F0" w14:paraId="7418C786"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C1737F1" w14:textId="77777777" w:rsidR="00A60D51" w:rsidRPr="001232F0" w:rsidRDefault="00A60D51"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61C9DCCF" w14:textId="4643E1B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1828DD40" w14:textId="45ADE17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2BC90E0" w14:textId="7206576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470EDD28" w14:textId="7294A184"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13</w:t>
            </w:r>
          </w:p>
        </w:tc>
        <w:tc>
          <w:tcPr>
            <w:tcW w:w="1276" w:type="dxa"/>
            <w:tcBorders>
              <w:top w:val="nil"/>
              <w:left w:val="nil"/>
              <w:bottom w:val="single" w:sz="4" w:space="0" w:color="auto"/>
              <w:right w:val="single" w:sz="4" w:space="0" w:color="auto"/>
            </w:tcBorders>
            <w:shd w:val="clear" w:color="000000" w:fill="FFFF00"/>
            <w:noWrap/>
            <w:vAlign w:val="bottom"/>
          </w:tcPr>
          <w:p w14:paraId="20472412" w14:textId="255A5459"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31</w:t>
            </w:r>
          </w:p>
        </w:tc>
        <w:tc>
          <w:tcPr>
            <w:tcW w:w="1134" w:type="dxa"/>
            <w:tcBorders>
              <w:top w:val="nil"/>
              <w:left w:val="nil"/>
              <w:bottom w:val="single" w:sz="4" w:space="0" w:color="auto"/>
              <w:right w:val="single" w:sz="8" w:space="0" w:color="auto"/>
            </w:tcBorders>
            <w:shd w:val="clear" w:color="000000" w:fill="E2EFDA"/>
            <w:noWrap/>
            <w:vAlign w:val="bottom"/>
          </w:tcPr>
          <w:p w14:paraId="643F8687" w14:textId="035C938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426</w:t>
            </w:r>
          </w:p>
        </w:tc>
      </w:tr>
      <w:tr w:rsidR="00A60D51" w:rsidRPr="001232F0" w14:paraId="1862F93A"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5AB61C1" w14:textId="77777777" w:rsidR="00A60D51" w:rsidRPr="001232F0" w:rsidRDefault="00A60D51"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4AD20F8A" w14:textId="27C9550D"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w:t>
            </w:r>
          </w:p>
        </w:tc>
        <w:tc>
          <w:tcPr>
            <w:tcW w:w="1134" w:type="dxa"/>
            <w:tcBorders>
              <w:top w:val="nil"/>
              <w:left w:val="nil"/>
              <w:bottom w:val="single" w:sz="4" w:space="0" w:color="auto"/>
              <w:right w:val="single" w:sz="4" w:space="0" w:color="auto"/>
            </w:tcBorders>
            <w:shd w:val="clear" w:color="000000" w:fill="FFFF00"/>
            <w:noWrap/>
            <w:vAlign w:val="bottom"/>
          </w:tcPr>
          <w:p w14:paraId="77AB06A8" w14:textId="6AEA7E2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24</w:t>
            </w:r>
          </w:p>
        </w:tc>
        <w:tc>
          <w:tcPr>
            <w:tcW w:w="1134" w:type="dxa"/>
            <w:tcBorders>
              <w:top w:val="nil"/>
              <w:left w:val="nil"/>
              <w:bottom w:val="single" w:sz="4" w:space="0" w:color="auto"/>
              <w:right w:val="single" w:sz="4" w:space="0" w:color="auto"/>
            </w:tcBorders>
            <w:shd w:val="clear" w:color="000000" w:fill="E2EFDA"/>
            <w:noWrap/>
            <w:vAlign w:val="bottom"/>
          </w:tcPr>
          <w:p w14:paraId="772B5FF3" w14:textId="49B47E7E"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53</w:t>
            </w:r>
          </w:p>
        </w:tc>
        <w:tc>
          <w:tcPr>
            <w:tcW w:w="1276" w:type="dxa"/>
            <w:tcBorders>
              <w:top w:val="nil"/>
              <w:left w:val="nil"/>
              <w:bottom w:val="single" w:sz="4" w:space="0" w:color="auto"/>
              <w:right w:val="single" w:sz="4" w:space="0" w:color="auto"/>
            </w:tcBorders>
            <w:shd w:val="clear" w:color="000000" w:fill="E2EFDA"/>
            <w:noWrap/>
            <w:vAlign w:val="bottom"/>
          </w:tcPr>
          <w:p w14:paraId="560CF678" w14:textId="4C3020F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70</w:t>
            </w:r>
          </w:p>
        </w:tc>
        <w:tc>
          <w:tcPr>
            <w:tcW w:w="1276" w:type="dxa"/>
            <w:tcBorders>
              <w:top w:val="nil"/>
              <w:left w:val="nil"/>
              <w:bottom w:val="single" w:sz="4" w:space="0" w:color="auto"/>
              <w:right w:val="single" w:sz="4" w:space="0" w:color="auto"/>
            </w:tcBorders>
            <w:shd w:val="clear" w:color="000000" w:fill="E2EFDA"/>
            <w:noWrap/>
            <w:vAlign w:val="bottom"/>
          </w:tcPr>
          <w:p w14:paraId="4A5849E9" w14:textId="12E32A07"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169</w:t>
            </w:r>
          </w:p>
        </w:tc>
        <w:tc>
          <w:tcPr>
            <w:tcW w:w="1134" w:type="dxa"/>
            <w:tcBorders>
              <w:top w:val="nil"/>
              <w:left w:val="nil"/>
              <w:bottom w:val="single" w:sz="4" w:space="0" w:color="auto"/>
              <w:right w:val="single" w:sz="8" w:space="0" w:color="auto"/>
            </w:tcBorders>
            <w:shd w:val="clear" w:color="000000" w:fill="E2EFDA"/>
            <w:noWrap/>
            <w:vAlign w:val="bottom"/>
          </w:tcPr>
          <w:p w14:paraId="38185433" w14:textId="094C11D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1A1FDA">
              <w:t>,</w:t>
            </w:r>
            <w:r>
              <w:t>009</w:t>
            </w:r>
          </w:p>
        </w:tc>
      </w:tr>
      <w:tr w:rsidR="00A60D51" w:rsidRPr="001232F0" w14:paraId="6BBC9AAB"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7FFF19A" w14:textId="77777777" w:rsidR="00A60D51" w:rsidRPr="001232F0" w:rsidRDefault="00A60D51"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20E45805" w14:textId="45BBCE2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160</w:t>
            </w:r>
          </w:p>
        </w:tc>
        <w:tc>
          <w:tcPr>
            <w:tcW w:w="1134" w:type="dxa"/>
            <w:tcBorders>
              <w:top w:val="nil"/>
              <w:left w:val="nil"/>
              <w:bottom w:val="single" w:sz="4" w:space="0" w:color="auto"/>
              <w:right w:val="single" w:sz="4" w:space="0" w:color="auto"/>
            </w:tcBorders>
            <w:shd w:val="clear" w:color="000000" w:fill="FFFF00"/>
            <w:noWrap/>
            <w:vAlign w:val="bottom"/>
          </w:tcPr>
          <w:p w14:paraId="73117EB2" w14:textId="75D69BE1"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256</w:t>
            </w:r>
          </w:p>
        </w:tc>
        <w:tc>
          <w:tcPr>
            <w:tcW w:w="1134" w:type="dxa"/>
            <w:tcBorders>
              <w:top w:val="nil"/>
              <w:left w:val="nil"/>
              <w:bottom w:val="single" w:sz="4" w:space="0" w:color="auto"/>
              <w:right w:val="single" w:sz="4" w:space="0" w:color="auto"/>
            </w:tcBorders>
            <w:shd w:val="clear" w:color="000000" w:fill="E2EFDA"/>
            <w:noWrap/>
            <w:vAlign w:val="bottom"/>
          </w:tcPr>
          <w:p w14:paraId="01366C6D" w14:textId="0398B071"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400</w:t>
            </w:r>
          </w:p>
        </w:tc>
        <w:tc>
          <w:tcPr>
            <w:tcW w:w="1276" w:type="dxa"/>
            <w:tcBorders>
              <w:top w:val="nil"/>
              <w:left w:val="nil"/>
              <w:bottom w:val="single" w:sz="4" w:space="0" w:color="auto"/>
              <w:right w:val="single" w:sz="4" w:space="0" w:color="auto"/>
            </w:tcBorders>
            <w:shd w:val="clear" w:color="000000" w:fill="E2EFDA"/>
            <w:noWrap/>
            <w:vAlign w:val="bottom"/>
          </w:tcPr>
          <w:p w14:paraId="1FEA4B85" w14:textId="3827B23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660</w:t>
            </w:r>
          </w:p>
        </w:tc>
        <w:tc>
          <w:tcPr>
            <w:tcW w:w="1276" w:type="dxa"/>
            <w:tcBorders>
              <w:top w:val="nil"/>
              <w:left w:val="nil"/>
              <w:bottom w:val="single" w:sz="4" w:space="0" w:color="auto"/>
              <w:right w:val="single" w:sz="4" w:space="0" w:color="auto"/>
            </w:tcBorders>
            <w:shd w:val="clear" w:color="000000" w:fill="E2EFDA"/>
            <w:noWrap/>
            <w:vAlign w:val="bottom"/>
          </w:tcPr>
          <w:p w14:paraId="7A5FF073" w14:textId="4D3EFCC8"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r w:rsidR="001A1FDA">
              <w:t>,</w:t>
            </w:r>
            <w:r>
              <w:t>624</w:t>
            </w:r>
          </w:p>
        </w:tc>
        <w:tc>
          <w:tcPr>
            <w:tcW w:w="1134" w:type="dxa"/>
            <w:tcBorders>
              <w:top w:val="nil"/>
              <w:left w:val="nil"/>
              <w:bottom w:val="single" w:sz="4" w:space="0" w:color="auto"/>
              <w:right w:val="single" w:sz="8" w:space="0" w:color="auto"/>
            </w:tcBorders>
            <w:shd w:val="clear" w:color="000000" w:fill="E2EFDA"/>
            <w:noWrap/>
            <w:vAlign w:val="bottom"/>
          </w:tcPr>
          <w:p w14:paraId="4D986DE4" w14:textId="4A6B1687"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r w:rsidR="001A1FDA">
              <w:t>,</w:t>
            </w:r>
            <w:r>
              <w:t>052</w:t>
            </w:r>
          </w:p>
        </w:tc>
      </w:tr>
      <w:tr w:rsidR="00A60D51" w:rsidRPr="001232F0" w14:paraId="0F0C7C1B"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D867FF7" w14:textId="77777777" w:rsidR="00A60D51" w:rsidRPr="001232F0" w:rsidRDefault="00A60D51"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E2EFDA"/>
            <w:noWrap/>
            <w:vAlign w:val="bottom"/>
          </w:tcPr>
          <w:p w14:paraId="6BE80BA8" w14:textId="25B17FCA"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260</w:t>
            </w:r>
          </w:p>
        </w:tc>
        <w:tc>
          <w:tcPr>
            <w:tcW w:w="1134" w:type="dxa"/>
            <w:tcBorders>
              <w:top w:val="nil"/>
              <w:left w:val="nil"/>
              <w:bottom w:val="nil"/>
              <w:right w:val="single" w:sz="4" w:space="0" w:color="auto"/>
            </w:tcBorders>
            <w:shd w:val="clear" w:color="000000" w:fill="FFFF00"/>
            <w:noWrap/>
            <w:vAlign w:val="bottom"/>
          </w:tcPr>
          <w:p w14:paraId="40141F92" w14:textId="43E0FD3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308</w:t>
            </w:r>
          </w:p>
        </w:tc>
        <w:tc>
          <w:tcPr>
            <w:tcW w:w="1134" w:type="dxa"/>
            <w:tcBorders>
              <w:top w:val="nil"/>
              <w:left w:val="nil"/>
              <w:bottom w:val="nil"/>
              <w:right w:val="single" w:sz="4" w:space="0" w:color="auto"/>
            </w:tcBorders>
            <w:shd w:val="clear" w:color="000000" w:fill="E2EFDA"/>
            <w:noWrap/>
            <w:vAlign w:val="bottom"/>
          </w:tcPr>
          <w:p w14:paraId="5F0C0179" w14:textId="579973F7"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668</w:t>
            </w:r>
          </w:p>
        </w:tc>
        <w:tc>
          <w:tcPr>
            <w:tcW w:w="1276" w:type="dxa"/>
            <w:tcBorders>
              <w:top w:val="nil"/>
              <w:left w:val="nil"/>
              <w:bottom w:val="nil"/>
              <w:right w:val="single" w:sz="4" w:space="0" w:color="auto"/>
            </w:tcBorders>
            <w:shd w:val="clear" w:color="000000" w:fill="E2EFDA"/>
            <w:noWrap/>
            <w:vAlign w:val="bottom"/>
          </w:tcPr>
          <w:p w14:paraId="6AA16C33" w14:textId="444D45B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992</w:t>
            </w:r>
          </w:p>
        </w:tc>
        <w:tc>
          <w:tcPr>
            <w:tcW w:w="1276" w:type="dxa"/>
            <w:tcBorders>
              <w:top w:val="nil"/>
              <w:left w:val="nil"/>
              <w:bottom w:val="nil"/>
              <w:right w:val="single" w:sz="4" w:space="0" w:color="auto"/>
            </w:tcBorders>
            <w:shd w:val="clear" w:color="000000" w:fill="E2EFDA"/>
            <w:noWrap/>
            <w:vAlign w:val="bottom"/>
          </w:tcPr>
          <w:p w14:paraId="4DC0DA49" w14:textId="0474609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r w:rsidR="001A1FDA">
              <w:t>,</w:t>
            </w:r>
            <w:r>
              <w:t>276</w:t>
            </w:r>
          </w:p>
        </w:tc>
        <w:tc>
          <w:tcPr>
            <w:tcW w:w="1134" w:type="dxa"/>
            <w:tcBorders>
              <w:top w:val="nil"/>
              <w:left w:val="nil"/>
              <w:bottom w:val="nil"/>
              <w:right w:val="single" w:sz="8" w:space="0" w:color="auto"/>
            </w:tcBorders>
            <w:shd w:val="clear" w:color="000000" w:fill="E2EFDA"/>
            <w:noWrap/>
            <w:vAlign w:val="bottom"/>
          </w:tcPr>
          <w:p w14:paraId="7A8302B9" w14:textId="7FAA7C2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w:t>
            </w:r>
            <w:r w:rsidR="001A1FDA">
              <w:t>,</w:t>
            </w:r>
            <w:r>
              <w:t>260</w:t>
            </w:r>
          </w:p>
        </w:tc>
      </w:tr>
    </w:tbl>
    <w:p w14:paraId="21F5A27C" w14:textId="77777777" w:rsidR="001A1FDA" w:rsidRDefault="001A1FDA" w:rsidP="0046618F">
      <w:pPr>
        <w:pStyle w:val="TableFootnote"/>
        <w:rPr>
          <w:lang w:eastAsia="en-AU"/>
        </w:rPr>
      </w:pPr>
    </w:p>
    <w:p w14:paraId="78118A80" w14:textId="347DA8D7" w:rsidR="00DF6D78" w:rsidRDefault="00DF6D78" w:rsidP="00DF6D78">
      <w:pPr>
        <w:pStyle w:val="CaptionTable"/>
        <w:rPr>
          <w:lang w:eastAsia="en-AU"/>
        </w:rPr>
      </w:pPr>
      <w:bookmarkStart w:id="55" w:name="_Toc501111532"/>
      <w:r>
        <w:rPr>
          <w:lang w:eastAsia="en-AU"/>
        </w:rPr>
        <w:t>Percentage Increase in forecast  LOR1 conditions in SA Region</w:t>
      </w:r>
      <w:r w:rsidR="001A1FDA">
        <w:rPr>
          <w:lang w:eastAsia="en-AU"/>
        </w:rPr>
        <w:t xml:space="preserve"> (in the six-year period)</w:t>
      </w:r>
      <w:bookmarkEnd w:id="55"/>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DF6D78" w:rsidRPr="00367906" w14:paraId="67F79E18" w14:textId="77777777" w:rsidTr="0046618F">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3FB4636" w14:textId="77777777" w:rsidR="00DF6D78" w:rsidRPr="001232F0" w:rsidRDefault="00DF6D78"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69C16D3E"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3C88C561"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6608FC9E"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01D02633"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29561C1D"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6781571B"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60D51" w:rsidRPr="001232F0" w14:paraId="5F918371"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178DF27" w14:textId="77777777" w:rsidR="00A60D51" w:rsidRPr="001232F0" w:rsidRDefault="00A60D51"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3515AC3E" w14:textId="4EEF773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BDD7EE"/>
            <w:noWrap/>
            <w:vAlign w:val="bottom"/>
          </w:tcPr>
          <w:p w14:paraId="1B7D8E88" w14:textId="0EA9689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3AD1C03D" w14:textId="4E96DC5A"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BDD7EE"/>
            <w:noWrap/>
            <w:vAlign w:val="bottom"/>
          </w:tcPr>
          <w:p w14:paraId="1BC8ACEB" w14:textId="187A2F3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7C9E7528" w14:textId="275C490D"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66016BCD" w14:textId="21BD57A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36%</w:t>
            </w:r>
          </w:p>
        </w:tc>
      </w:tr>
      <w:tr w:rsidR="00A60D51" w:rsidRPr="001232F0" w14:paraId="252605B8"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C6C7C6F" w14:textId="77777777" w:rsidR="00A60D51" w:rsidRPr="001232F0" w:rsidRDefault="00A60D51"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18EEAE3B" w14:textId="34F30C1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179EC34F" w14:textId="741ACEAF"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40B7782E" w14:textId="6CBABCC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598A4551" w14:textId="7418F151"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28920EA4" w14:textId="0DE40EDC"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64877BB" w14:textId="792CC6BA"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20%</w:t>
            </w:r>
          </w:p>
        </w:tc>
      </w:tr>
      <w:tr w:rsidR="00A60D51" w:rsidRPr="001232F0" w14:paraId="03174522"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EB633F1" w14:textId="77777777" w:rsidR="00A60D51" w:rsidRPr="001232F0" w:rsidRDefault="00A60D51"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6EF3850E" w14:textId="734866A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0F44687E" w14:textId="58C7B47D"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4E696DBC" w14:textId="18A563A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3DA39578" w14:textId="001EC16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47AA0412" w14:textId="50CA4BC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606AFA75" w14:textId="7B70CB4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w:t>
            </w:r>
          </w:p>
        </w:tc>
      </w:tr>
      <w:tr w:rsidR="00A60D51" w:rsidRPr="001232F0" w14:paraId="72503EC2"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EC3C8AC" w14:textId="77777777" w:rsidR="00A60D51" w:rsidRPr="001232F0" w:rsidRDefault="00A60D51"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27F6457B" w14:textId="0C18D2CA"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2DD445BE" w14:textId="595D77E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43845D7E" w14:textId="74B83A0F"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480391F3" w14:textId="20C6425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4C02F5B0" w14:textId="79043A9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289835AF" w14:textId="4F122DA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9%</w:t>
            </w:r>
          </w:p>
        </w:tc>
      </w:tr>
      <w:tr w:rsidR="00A60D51" w:rsidRPr="001232F0" w14:paraId="1F657375"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B847D8F" w14:textId="77777777" w:rsidR="00A60D51" w:rsidRPr="001232F0" w:rsidRDefault="00A60D51"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74D18BC5" w14:textId="5241198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25EC06F2" w14:textId="0D6586B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6AD3277C" w14:textId="52AEFB2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419EBB61" w14:textId="47D0C8B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0187517B" w14:textId="1E2152E1"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3F4D9BF9" w14:textId="4FD1E1C7"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w:t>
            </w:r>
          </w:p>
        </w:tc>
      </w:tr>
      <w:tr w:rsidR="00A60D51" w:rsidRPr="001232F0" w14:paraId="08F6EC1F"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20AFFD6" w14:textId="77777777" w:rsidR="00A60D51" w:rsidRPr="001232F0" w:rsidRDefault="00A60D51"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4B056E49" w14:textId="50AA24D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p>
        </w:tc>
        <w:tc>
          <w:tcPr>
            <w:tcW w:w="1043" w:type="dxa"/>
            <w:tcBorders>
              <w:top w:val="nil"/>
              <w:left w:val="nil"/>
              <w:bottom w:val="single" w:sz="4" w:space="0" w:color="auto"/>
              <w:right w:val="single" w:sz="4" w:space="0" w:color="auto"/>
            </w:tcBorders>
            <w:shd w:val="clear" w:color="000000" w:fill="FFFF00"/>
            <w:noWrap/>
            <w:vAlign w:val="bottom"/>
          </w:tcPr>
          <w:p w14:paraId="2A64D38B" w14:textId="1B90FB5E"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66" w:type="dxa"/>
            <w:tcBorders>
              <w:top w:val="nil"/>
              <w:left w:val="nil"/>
              <w:bottom w:val="single" w:sz="4" w:space="0" w:color="auto"/>
              <w:right w:val="single" w:sz="4" w:space="0" w:color="auto"/>
            </w:tcBorders>
            <w:shd w:val="clear" w:color="000000" w:fill="BDD7EE"/>
            <w:noWrap/>
            <w:vAlign w:val="bottom"/>
          </w:tcPr>
          <w:p w14:paraId="791439FC" w14:textId="64EA74FB"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54" w:type="dxa"/>
            <w:tcBorders>
              <w:top w:val="nil"/>
              <w:left w:val="nil"/>
              <w:bottom w:val="single" w:sz="4" w:space="0" w:color="auto"/>
              <w:right w:val="single" w:sz="4" w:space="0" w:color="auto"/>
            </w:tcBorders>
            <w:shd w:val="clear" w:color="000000" w:fill="BDD7EE"/>
            <w:noWrap/>
            <w:vAlign w:val="bottom"/>
          </w:tcPr>
          <w:p w14:paraId="1801651F" w14:textId="5A5B802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54" w:type="dxa"/>
            <w:tcBorders>
              <w:top w:val="nil"/>
              <w:left w:val="nil"/>
              <w:bottom w:val="single" w:sz="4" w:space="0" w:color="auto"/>
              <w:right w:val="single" w:sz="4" w:space="0" w:color="auto"/>
            </w:tcBorders>
            <w:shd w:val="clear" w:color="000000" w:fill="BDD7EE"/>
            <w:noWrap/>
            <w:vAlign w:val="bottom"/>
          </w:tcPr>
          <w:p w14:paraId="08911162" w14:textId="10AD3D44"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w:t>
            </w:r>
          </w:p>
        </w:tc>
        <w:tc>
          <w:tcPr>
            <w:tcW w:w="1266" w:type="dxa"/>
            <w:tcBorders>
              <w:top w:val="nil"/>
              <w:left w:val="nil"/>
              <w:bottom w:val="single" w:sz="4" w:space="0" w:color="auto"/>
              <w:right w:val="single" w:sz="4" w:space="0" w:color="auto"/>
            </w:tcBorders>
            <w:shd w:val="clear" w:color="000000" w:fill="BDD7EE"/>
            <w:noWrap/>
            <w:vAlign w:val="bottom"/>
          </w:tcPr>
          <w:p w14:paraId="40549C24" w14:textId="587B8FB2"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13%</w:t>
            </w:r>
          </w:p>
        </w:tc>
      </w:tr>
      <w:tr w:rsidR="00A60D51" w:rsidRPr="001232F0" w14:paraId="0E0C26FC"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3CD08FA" w14:textId="77777777" w:rsidR="00A60D51" w:rsidRPr="001232F0" w:rsidRDefault="00A60D51"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BDD7EE"/>
            <w:noWrap/>
            <w:vAlign w:val="bottom"/>
          </w:tcPr>
          <w:p w14:paraId="6BDE1CA2" w14:textId="3BC1DB5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w:t>
            </w:r>
          </w:p>
        </w:tc>
        <w:tc>
          <w:tcPr>
            <w:tcW w:w="1043" w:type="dxa"/>
            <w:tcBorders>
              <w:top w:val="nil"/>
              <w:left w:val="nil"/>
              <w:bottom w:val="single" w:sz="8" w:space="0" w:color="auto"/>
              <w:right w:val="single" w:sz="4" w:space="0" w:color="auto"/>
            </w:tcBorders>
            <w:shd w:val="clear" w:color="000000" w:fill="FFFF00"/>
            <w:noWrap/>
            <w:vAlign w:val="bottom"/>
          </w:tcPr>
          <w:p w14:paraId="42FD6D6F" w14:textId="2FFD659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266" w:type="dxa"/>
            <w:tcBorders>
              <w:top w:val="nil"/>
              <w:left w:val="nil"/>
              <w:bottom w:val="single" w:sz="8" w:space="0" w:color="auto"/>
              <w:right w:val="single" w:sz="4" w:space="0" w:color="auto"/>
            </w:tcBorders>
            <w:shd w:val="clear" w:color="000000" w:fill="BDD7EE"/>
            <w:noWrap/>
            <w:vAlign w:val="bottom"/>
          </w:tcPr>
          <w:p w14:paraId="0F5C1B76" w14:textId="7320412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154" w:type="dxa"/>
            <w:tcBorders>
              <w:top w:val="nil"/>
              <w:left w:val="nil"/>
              <w:bottom w:val="single" w:sz="8" w:space="0" w:color="auto"/>
              <w:right w:val="single" w:sz="4" w:space="0" w:color="auto"/>
            </w:tcBorders>
            <w:shd w:val="clear" w:color="000000" w:fill="BDD7EE"/>
            <w:noWrap/>
            <w:vAlign w:val="bottom"/>
          </w:tcPr>
          <w:p w14:paraId="5B963311" w14:textId="4FCC25FD"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w:t>
            </w:r>
          </w:p>
        </w:tc>
        <w:tc>
          <w:tcPr>
            <w:tcW w:w="1154" w:type="dxa"/>
            <w:tcBorders>
              <w:top w:val="nil"/>
              <w:left w:val="nil"/>
              <w:bottom w:val="single" w:sz="8" w:space="0" w:color="auto"/>
              <w:right w:val="single" w:sz="4" w:space="0" w:color="auto"/>
            </w:tcBorders>
            <w:shd w:val="clear" w:color="000000" w:fill="BDD7EE"/>
            <w:noWrap/>
            <w:vAlign w:val="bottom"/>
          </w:tcPr>
          <w:p w14:paraId="2C31EBAB" w14:textId="0253F6D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w:t>
            </w:r>
          </w:p>
        </w:tc>
        <w:tc>
          <w:tcPr>
            <w:tcW w:w="1266" w:type="dxa"/>
            <w:tcBorders>
              <w:top w:val="nil"/>
              <w:left w:val="nil"/>
              <w:bottom w:val="single" w:sz="8" w:space="0" w:color="auto"/>
              <w:right w:val="single" w:sz="4" w:space="0" w:color="auto"/>
            </w:tcBorders>
            <w:shd w:val="clear" w:color="000000" w:fill="BDD7EE"/>
            <w:noWrap/>
            <w:vAlign w:val="bottom"/>
          </w:tcPr>
          <w:p w14:paraId="122AC675" w14:textId="6C42ECB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w:t>
            </w:r>
          </w:p>
        </w:tc>
      </w:tr>
    </w:tbl>
    <w:p w14:paraId="04830053" w14:textId="77777777" w:rsidR="00DF6D78" w:rsidRDefault="00DF6D78" w:rsidP="00DF6D78">
      <w:pPr>
        <w:pStyle w:val="CaptionTable"/>
        <w:numPr>
          <w:ilvl w:val="0"/>
          <w:numId w:val="0"/>
        </w:numPr>
        <w:ind w:left="851"/>
        <w:rPr>
          <w:lang w:eastAsia="en-AU"/>
        </w:rPr>
      </w:pPr>
    </w:p>
    <w:p w14:paraId="72C92CD6" w14:textId="77777777" w:rsidR="00DF6D78" w:rsidRDefault="00DF6D78">
      <w:pPr>
        <w:spacing w:after="160" w:line="259" w:lineRule="auto"/>
        <w:jc w:val="left"/>
        <w:rPr>
          <w:b/>
          <w:bCs/>
          <w:sz w:val="18"/>
          <w:szCs w:val="18"/>
          <w:lang w:eastAsia="en-AU"/>
        </w:rPr>
      </w:pPr>
      <w:r>
        <w:rPr>
          <w:lang w:eastAsia="en-AU"/>
        </w:rPr>
        <w:br w:type="page"/>
      </w:r>
    </w:p>
    <w:p w14:paraId="03405908" w14:textId="4C75E7B0" w:rsidR="00DF6D78" w:rsidRDefault="00DF6D78" w:rsidP="00DF6D78">
      <w:pPr>
        <w:pStyle w:val="CaptionTable"/>
        <w:rPr>
          <w:lang w:eastAsia="en-AU"/>
        </w:rPr>
      </w:pPr>
      <w:bookmarkStart w:id="56" w:name="_Toc501111533"/>
      <w:r>
        <w:rPr>
          <w:lang w:eastAsia="en-AU"/>
        </w:rPr>
        <w:t>Increase in number TIs with forecast  LOR1</w:t>
      </w:r>
      <w:r w:rsidR="00B66E16">
        <w:rPr>
          <w:lang w:eastAsia="en-AU"/>
        </w:rPr>
        <w:t xml:space="preserve"> conditions in SA</w:t>
      </w:r>
      <w:r>
        <w:rPr>
          <w:lang w:eastAsia="en-AU"/>
        </w:rPr>
        <w:t xml:space="preserve"> Region</w:t>
      </w:r>
      <w:r w:rsidR="001A1FDA">
        <w:rPr>
          <w:lang w:eastAsia="en-AU"/>
        </w:rPr>
        <w:t xml:space="preserve"> (in the six-year period)</w:t>
      </w:r>
      <w:bookmarkEnd w:id="56"/>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DF6D78" w:rsidRPr="00367906" w14:paraId="3590D43C" w14:textId="77777777" w:rsidTr="0046618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6A44652" w14:textId="77777777" w:rsidR="00DF6D78" w:rsidRPr="001232F0" w:rsidRDefault="00DF6D78"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772A9D64"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38E501DC"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44852A91"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43BEC7C1"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0902111B"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2F56F20E" w14:textId="77777777" w:rsidR="00DF6D78" w:rsidRPr="001232F0" w:rsidRDefault="00DF6D78"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A60D51" w:rsidRPr="001232F0" w14:paraId="2C6760DC"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02AD0C6" w14:textId="77777777" w:rsidR="00A60D51" w:rsidRPr="001232F0" w:rsidRDefault="00A60D51" w:rsidP="0046618F">
            <w:pPr>
              <w:pStyle w:val="TableNumber"/>
              <w:rPr>
                <w:lang w:eastAsia="en-AU"/>
              </w:rPr>
            </w:pPr>
            <w:r w:rsidRPr="001232F0">
              <w:rPr>
                <w:lang w:eastAsia="en-AU"/>
              </w:rPr>
              <w:t>2</w:t>
            </w:r>
          </w:p>
        </w:tc>
        <w:tc>
          <w:tcPr>
            <w:tcW w:w="997"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559800A3" w14:textId="5EC615C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435D5CB5" w14:textId="0CBDCDE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6FBA7061" w14:textId="795A1CC7"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BDD7EE"/>
            <w:noWrap/>
            <w:vAlign w:val="bottom"/>
          </w:tcPr>
          <w:p w14:paraId="5E763744" w14:textId="07F857DE"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7833199F" w14:textId="53BA428B"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5B6AD482" w14:textId="73D9E02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218</w:t>
            </w:r>
          </w:p>
        </w:tc>
      </w:tr>
      <w:tr w:rsidR="00A60D51" w:rsidRPr="001232F0" w14:paraId="7D22CB4A"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4FBA567" w14:textId="77777777" w:rsidR="00A60D51" w:rsidRPr="001232F0" w:rsidRDefault="00A60D51"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15050CDA" w14:textId="2014E037"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7DCAD604" w14:textId="46D96BF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69815AF3" w14:textId="56CBA362"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28B1417" w14:textId="24D99EC9"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4C8E7AD7" w14:textId="5187F8D9"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10B64B2" w14:textId="25E80537"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172</w:t>
            </w:r>
          </w:p>
        </w:tc>
      </w:tr>
      <w:tr w:rsidR="00A60D51" w:rsidRPr="001232F0" w14:paraId="55D83D7C"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ADDD2CA" w14:textId="77777777" w:rsidR="00A60D51" w:rsidRPr="001232F0" w:rsidRDefault="00A60D51"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6AEC616D" w14:textId="5CA0F78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09628ED5" w14:textId="30E65EF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50E3B27" w14:textId="17A87A72"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DFFFC5E" w14:textId="5C8608F0"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50817AA3" w14:textId="4E135AC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24AACEA" w14:textId="042F8710"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176</w:t>
            </w:r>
          </w:p>
        </w:tc>
      </w:tr>
      <w:tr w:rsidR="00A60D51" w:rsidRPr="001232F0" w14:paraId="020C0A80"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3BBABE4" w14:textId="77777777" w:rsidR="00A60D51" w:rsidRPr="001232F0" w:rsidRDefault="00A60D51"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31BE2E9C" w14:textId="47E6C9C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680ED5E9" w14:textId="41902E72"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C31312D" w14:textId="2677AAD2"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638438C" w14:textId="6BF43F87"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57840E2D" w14:textId="77B810B9"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0020B6A8" w14:textId="54A755DD"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199</w:t>
            </w:r>
          </w:p>
        </w:tc>
      </w:tr>
      <w:tr w:rsidR="00A60D51" w:rsidRPr="001232F0" w14:paraId="202EA57F"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2FB7E36" w14:textId="77777777" w:rsidR="00A60D51" w:rsidRPr="001232F0" w:rsidRDefault="00A60D51"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252597D4" w14:textId="3A4CEB9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FFFF00"/>
            <w:noWrap/>
            <w:vAlign w:val="bottom"/>
          </w:tcPr>
          <w:p w14:paraId="2E3E58C6" w14:textId="059BC3C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BDD7EE"/>
            <w:noWrap/>
            <w:vAlign w:val="bottom"/>
          </w:tcPr>
          <w:p w14:paraId="28E08154" w14:textId="260F0EC4"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47CE4A18" w14:textId="2D6AFD09"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276" w:type="dxa"/>
            <w:tcBorders>
              <w:top w:val="nil"/>
              <w:left w:val="nil"/>
              <w:bottom w:val="single" w:sz="4" w:space="0" w:color="auto"/>
              <w:right w:val="single" w:sz="4" w:space="0" w:color="auto"/>
            </w:tcBorders>
            <w:shd w:val="clear" w:color="000000" w:fill="BDD7EE"/>
            <w:noWrap/>
            <w:vAlign w:val="bottom"/>
          </w:tcPr>
          <w:p w14:paraId="4FFD635B" w14:textId="6F39E205"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BDD7EE"/>
            <w:noWrap/>
            <w:vAlign w:val="bottom"/>
          </w:tcPr>
          <w:p w14:paraId="46D97A1E" w14:textId="25F5D94B"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392</w:t>
            </w:r>
          </w:p>
        </w:tc>
      </w:tr>
      <w:tr w:rsidR="00A60D51" w:rsidRPr="001232F0" w14:paraId="2E03762E"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88FAF63" w14:textId="77777777" w:rsidR="00A60D51" w:rsidRPr="001232F0" w:rsidRDefault="00A60D51"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7B482FEB" w14:textId="37F62D86"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w:t>
            </w:r>
          </w:p>
        </w:tc>
        <w:tc>
          <w:tcPr>
            <w:tcW w:w="1134" w:type="dxa"/>
            <w:tcBorders>
              <w:top w:val="nil"/>
              <w:left w:val="nil"/>
              <w:bottom w:val="single" w:sz="4" w:space="0" w:color="auto"/>
              <w:right w:val="single" w:sz="4" w:space="0" w:color="auto"/>
            </w:tcBorders>
            <w:shd w:val="clear" w:color="000000" w:fill="FFFF00"/>
            <w:noWrap/>
            <w:vAlign w:val="bottom"/>
          </w:tcPr>
          <w:p w14:paraId="1B634B1A" w14:textId="1C4C66B9"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134" w:type="dxa"/>
            <w:tcBorders>
              <w:top w:val="nil"/>
              <w:left w:val="nil"/>
              <w:bottom w:val="single" w:sz="4" w:space="0" w:color="auto"/>
              <w:right w:val="single" w:sz="4" w:space="0" w:color="auto"/>
            </w:tcBorders>
            <w:shd w:val="clear" w:color="000000" w:fill="BDD7EE"/>
            <w:noWrap/>
            <w:vAlign w:val="bottom"/>
          </w:tcPr>
          <w:p w14:paraId="4B44DA52" w14:textId="34B7BFC3"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w:t>
            </w:r>
          </w:p>
        </w:tc>
        <w:tc>
          <w:tcPr>
            <w:tcW w:w="1276" w:type="dxa"/>
            <w:tcBorders>
              <w:top w:val="nil"/>
              <w:left w:val="nil"/>
              <w:bottom w:val="single" w:sz="4" w:space="0" w:color="auto"/>
              <w:right w:val="single" w:sz="4" w:space="0" w:color="auto"/>
            </w:tcBorders>
            <w:shd w:val="clear" w:color="000000" w:fill="BDD7EE"/>
            <w:noWrap/>
            <w:vAlign w:val="bottom"/>
          </w:tcPr>
          <w:p w14:paraId="2B784645" w14:textId="427DC740"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32</w:t>
            </w:r>
          </w:p>
        </w:tc>
        <w:tc>
          <w:tcPr>
            <w:tcW w:w="1276" w:type="dxa"/>
            <w:tcBorders>
              <w:top w:val="nil"/>
              <w:left w:val="nil"/>
              <w:bottom w:val="single" w:sz="4" w:space="0" w:color="auto"/>
              <w:right w:val="single" w:sz="4" w:space="0" w:color="auto"/>
            </w:tcBorders>
            <w:shd w:val="clear" w:color="000000" w:fill="BDD7EE"/>
            <w:noWrap/>
            <w:vAlign w:val="bottom"/>
          </w:tcPr>
          <w:p w14:paraId="402C8DAC" w14:textId="4EF4A3AF"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108</w:t>
            </w:r>
          </w:p>
        </w:tc>
        <w:tc>
          <w:tcPr>
            <w:tcW w:w="1134" w:type="dxa"/>
            <w:tcBorders>
              <w:top w:val="nil"/>
              <w:left w:val="nil"/>
              <w:bottom w:val="single" w:sz="4" w:space="0" w:color="auto"/>
              <w:right w:val="single" w:sz="4" w:space="0" w:color="auto"/>
            </w:tcBorders>
            <w:shd w:val="clear" w:color="000000" w:fill="BDD7EE"/>
            <w:noWrap/>
            <w:vAlign w:val="bottom"/>
          </w:tcPr>
          <w:p w14:paraId="0843D9B4" w14:textId="7E6300F7" w:rsidR="00A60D51" w:rsidRPr="001232F0" w:rsidRDefault="00A60D51"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548</w:t>
            </w:r>
          </w:p>
        </w:tc>
      </w:tr>
      <w:tr w:rsidR="00A60D51" w:rsidRPr="001232F0" w14:paraId="0364B896"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5D9877E" w14:textId="77777777" w:rsidR="00A60D51" w:rsidRPr="001232F0" w:rsidRDefault="00A60D51"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BDD7EE"/>
            <w:noWrap/>
            <w:vAlign w:val="bottom"/>
          </w:tcPr>
          <w:p w14:paraId="152FE33D" w14:textId="3DAAE100"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24</w:t>
            </w:r>
          </w:p>
        </w:tc>
        <w:tc>
          <w:tcPr>
            <w:tcW w:w="1134" w:type="dxa"/>
            <w:tcBorders>
              <w:top w:val="nil"/>
              <w:left w:val="nil"/>
              <w:bottom w:val="nil"/>
              <w:right w:val="single" w:sz="4" w:space="0" w:color="auto"/>
            </w:tcBorders>
            <w:shd w:val="clear" w:color="000000" w:fill="FFFF00"/>
            <w:noWrap/>
            <w:vAlign w:val="bottom"/>
          </w:tcPr>
          <w:p w14:paraId="692D554D" w14:textId="47F3F7AF"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w:t>
            </w:r>
          </w:p>
        </w:tc>
        <w:tc>
          <w:tcPr>
            <w:tcW w:w="1134" w:type="dxa"/>
            <w:tcBorders>
              <w:top w:val="nil"/>
              <w:left w:val="nil"/>
              <w:bottom w:val="nil"/>
              <w:right w:val="single" w:sz="4" w:space="0" w:color="auto"/>
            </w:tcBorders>
            <w:shd w:val="clear" w:color="000000" w:fill="BDD7EE"/>
            <w:noWrap/>
            <w:vAlign w:val="bottom"/>
          </w:tcPr>
          <w:p w14:paraId="0B2E6961" w14:textId="2B309CD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92</w:t>
            </w:r>
          </w:p>
        </w:tc>
        <w:tc>
          <w:tcPr>
            <w:tcW w:w="1276" w:type="dxa"/>
            <w:tcBorders>
              <w:top w:val="nil"/>
              <w:left w:val="nil"/>
              <w:bottom w:val="nil"/>
              <w:right w:val="single" w:sz="4" w:space="0" w:color="auto"/>
            </w:tcBorders>
            <w:shd w:val="clear" w:color="000000" w:fill="BDD7EE"/>
            <w:noWrap/>
            <w:vAlign w:val="bottom"/>
          </w:tcPr>
          <w:p w14:paraId="0E8D7220" w14:textId="77BE386C"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160</w:t>
            </w:r>
          </w:p>
        </w:tc>
        <w:tc>
          <w:tcPr>
            <w:tcW w:w="1276" w:type="dxa"/>
            <w:tcBorders>
              <w:top w:val="nil"/>
              <w:left w:val="nil"/>
              <w:bottom w:val="nil"/>
              <w:right w:val="single" w:sz="4" w:space="0" w:color="auto"/>
            </w:tcBorders>
            <w:shd w:val="clear" w:color="000000" w:fill="BDD7EE"/>
            <w:noWrap/>
            <w:vAlign w:val="bottom"/>
          </w:tcPr>
          <w:p w14:paraId="635FFED4" w14:textId="05CB37B6"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368</w:t>
            </w:r>
          </w:p>
        </w:tc>
        <w:tc>
          <w:tcPr>
            <w:tcW w:w="1134" w:type="dxa"/>
            <w:tcBorders>
              <w:top w:val="nil"/>
              <w:left w:val="nil"/>
              <w:bottom w:val="nil"/>
              <w:right w:val="single" w:sz="4" w:space="0" w:color="auto"/>
            </w:tcBorders>
            <w:shd w:val="clear" w:color="000000" w:fill="BDD7EE"/>
            <w:noWrap/>
            <w:vAlign w:val="bottom"/>
          </w:tcPr>
          <w:p w14:paraId="74BFF69C" w14:textId="56F090A3" w:rsidR="00A60D51" w:rsidRPr="001232F0" w:rsidRDefault="00A60D51"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w:t>
            </w:r>
            <w:r w:rsidR="001A1FDA">
              <w:t>,</w:t>
            </w:r>
            <w:r>
              <w:t>104</w:t>
            </w:r>
          </w:p>
        </w:tc>
      </w:tr>
    </w:tbl>
    <w:p w14:paraId="63A001B1" w14:textId="77777777" w:rsidR="00A8658E" w:rsidRDefault="00A8658E" w:rsidP="0046618F">
      <w:pPr>
        <w:pStyle w:val="TableFootnote"/>
        <w:rPr>
          <w:lang w:eastAsia="en-AU"/>
        </w:rPr>
      </w:pPr>
    </w:p>
    <w:p w14:paraId="2859C037" w14:textId="624639FB" w:rsidR="00A60D51" w:rsidRDefault="00A60D51" w:rsidP="002A75B9">
      <w:pPr>
        <w:pStyle w:val="BodyText"/>
      </w:pPr>
      <w:r>
        <w:t>This selection satisfies the criteria</w:t>
      </w:r>
      <w:r w:rsidR="001A1FDA">
        <w:t>,</w:t>
      </w:r>
      <w:r>
        <w:t xml:space="preserve"> except for 72</w:t>
      </w:r>
      <w:r w:rsidR="001A1FDA">
        <w:t xml:space="preserve"> </w:t>
      </w:r>
      <w:r>
        <w:t>hrs ahead</w:t>
      </w:r>
      <w:r w:rsidR="001A1FDA">
        <w:t>,</w:t>
      </w:r>
      <w:r>
        <w:t xml:space="preserve"> where increase in TIs for LOR2 conditions is 308</w:t>
      </w:r>
      <w:r w:rsidR="001A1FDA">
        <w:t>,</w:t>
      </w:r>
      <w:r>
        <w:t xml:space="preserve"> which is slightly above criteria of 288. However</w:t>
      </w:r>
      <w:r w:rsidR="001A1FDA">
        <w:t>,</w:t>
      </w:r>
      <w:r>
        <w:t xml:space="preserve"> the difference is marginal and is not </w:t>
      </w:r>
      <w:r w:rsidR="001A1FDA">
        <w:br/>
      </w:r>
      <w:r>
        <w:t>considered material.</w:t>
      </w:r>
    </w:p>
    <w:p w14:paraId="2E632AC4" w14:textId="62B13303" w:rsidR="00A60D51" w:rsidRDefault="00F63AED" w:rsidP="0046618F">
      <w:pPr>
        <w:pStyle w:val="AppendixHeading2"/>
      </w:pPr>
      <w:bookmarkStart w:id="57" w:name="_Toc501453679"/>
      <w:r>
        <w:t>Victoria</w:t>
      </w:r>
      <w:bookmarkEnd w:id="57"/>
    </w:p>
    <w:p w14:paraId="7CA43240" w14:textId="037D0E76" w:rsidR="00A60D51" w:rsidRDefault="00A60D51" w:rsidP="00A60D51">
      <w:pPr>
        <w:pStyle w:val="CaptionTable"/>
        <w:rPr>
          <w:lang w:eastAsia="en-AU"/>
        </w:rPr>
      </w:pPr>
      <w:bookmarkStart w:id="58" w:name="_Toc501111534"/>
      <w:r>
        <w:rPr>
          <w:lang w:eastAsia="en-AU"/>
        </w:rPr>
        <w:t>Percentage Increase in forecast  LOR2 conditions in Vic Region</w:t>
      </w:r>
      <w:r w:rsidR="007049EB">
        <w:rPr>
          <w:lang w:eastAsia="en-AU"/>
        </w:rPr>
        <w:t xml:space="preserve"> (in the six-year period)</w:t>
      </w:r>
      <w:bookmarkEnd w:id="58"/>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A60D51" w:rsidRPr="00367906" w14:paraId="537D394E" w14:textId="77777777" w:rsidTr="0046618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4228BE4E" w14:textId="77777777" w:rsidR="00A60D51" w:rsidRPr="001232F0" w:rsidRDefault="00A60D51"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30199652"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60A8956A"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3E78E43E"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3ED8E51B"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21DA1AB2"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473EE8FE"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B66E16" w:rsidRPr="001232F0" w14:paraId="23FAED42"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60C47CC" w14:textId="77777777" w:rsidR="00B66E16" w:rsidRPr="001232F0" w:rsidRDefault="00B66E16"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202B0426" w14:textId="35D91F1A"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rPr>
                <w:rFonts w:eastAsia="Arial" w:cs="Arial"/>
              </w:rPr>
              <w:t>0%</w:t>
            </w:r>
          </w:p>
        </w:tc>
        <w:tc>
          <w:tcPr>
            <w:tcW w:w="1043" w:type="dxa"/>
            <w:tcBorders>
              <w:top w:val="single" w:sz="8" w:space="0" w:color="auto"/>
              <w:left w:val="nil"/>
              <w:bottom w:val="single" w:sz="4" w:space="0" w:color="auto"/>
              <w:right w:val="single" w:sz="4" w:space="0" w:color="auto"/>
            </w:tcBorders>
            <w:shd w:val="clear" w:color="000000" w:fill="E2EFDA"/>
            <w:noWrap/>
            <w:vAlign w:val="bottom"/>
          </w:tcPr>
          <w:p w14:paraId="2D4AF1A2" w14:textId="215C36C3"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E2EFDA"/>
            <w:noWrap/>
            <w:vAlign w:val="bottom"/>
          </w:tcPr>
          <w:p w14:paraId="2F24A6CC" w14:textId="445D778B"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E2EFDA"/>
            <w:noWrap/>
            <w:vAlign w:val="bottom"/>
          </w:tcPr>
          <w:p w14:paraId="2C1FBCDF" w14:textId="6C1FA8A8"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589D8BE8" w14:textId="3A1E433D"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8" w:space="0" w:color="auto"/>
            </w:tcBorders>
            <w:shd w:val="clear" w:color="000000" w:fill="E2EFDA"/>
            <w:noWrap/>
            <w:vAlign w:val="bottom"/>
          </w:tcPr>
          <w:p w14:paraId="2F0D1567" w14:textId="2D92C02E"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71%</w:t>
            </w:r>
          </w:p>
        </w:tc>
      </w:tr>
      <w:tr w:rsidR="00B66E16" w:rsidRPr="001232F0" w14:paraId="4A5BF2C0"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C6CB279" w14:textId="77777777" w:rsidR="00B66E16" w:rsidRPr="001232F0" w:rsidRDefault="00B66E16"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2107C053" w14:textId="3D55B199"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043" w:type="dxa"/>
            <w:tcBorders>
              <w:top w:val="nil"/>
              <w:left w:val="nil"/>
              <w:bottom w:val="single" w:sz="4" w:space="0" w:color="auto"/>
              <w:right w:val="single" w:sz="4" w:space="0" w:color="auto"/>
            </w:tcBorders>
            <w:shd w:val="clear" w:color="000000" w:fill="E2EFDA"/>
            <w:noWrap/>
            <w:vAlign w:val="bottom"/>
          </w:tcPr>
          <w:p w14:paraId="4169E713" w14:textId="3EC6E57F"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266" w:type="dxa"/>
            <w:tcBorders>
              <w:top w:val="nil"/>
              <w:left w:val="nil"/>
              <w:bottom w:val="single" w:sz="4" w:space="0" w:color="auto"/>
              <w:right w:val="single" w:sz="4" w:space="0" w:color="auto"/>
            </w:tcBorders>
            <w:shd w:val="clear" w:color="000000" w:fill="E2EFDA"/>
            <w:noWrap/>
            <w:vAlign w:val="bottom"/>
          </w:tcPr>
          <w:p w14:paraId="16D2A337" w14:textId="2DBE0E9D"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154" w:type="dxa"/>
            <w:tcBorders>
              <w:top w:val="nil"/>
              <w:left w:val="nil"/>
              <w:bottom w:val="single" w:sz="4" w:space="0" w:color="auto"/>
              <w:right w:val="single" w:sz="4" w:space="0" w:color="auto"/>
            </w:tcBorders>
            <w:shd w:val="clear" w:color="000000" w:fill="E2EFDA"/>
            <w:noWrap/>
            <w:vAlign w:val="bottom"/>
          </w:tcPr>
          <w:p w14:paraId="29CC2A42" w14:textId="08DB5092"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154" w:type="dxa"/>
            <w:tcBorders>
              <w:top w:val="nil"/>
              <w:left w:val="nil"/>
              <w:bottom w:val="single" w:sz="4" w:space="0" w:color="auto"/>
              <w:right w:val="single" w:sz="4" w:space="0" w:color="auto"/>
            </w:tcBorders>
            <w:shd w:val="clear" w:color="000000" w:fill="FFFF00"/>
            <w:noWrap/>
            <w:vAlign w:val="bottom"/>
          </w:tcPr>
          <w:p w14:paraId="187DDF13" w14:textId="263DB563"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13%</w:t>
            </w:r>
          </w:p>
        </w:tc>
        <w:tc>
          <w:tcPr>
            <w:tcW w:w="1266" w:type="dxa"/>
            <w:tcBorders>
              <w:top w:val="nil"/>
              <w:left w:val="nil"/>
              <w:bottom w:val="single" w:sz="4" w:space="0" w:color="auto"/>
              <w:right w:val="single" w:sz="8" w:space="0" w:color="auto"/>
            </w:tcBorders>
            <w:shd w:val="clear" w:color="000000" w:fill="E2EFDA"/>
            <w:noWrap/>
            <w:vAlign w:val="bottom"/>
          </w:tcPr>
          <w:p w14:paraId="2FE39F1D" w14:textId="2D06C604"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120%</w:t>
            </w:r>
          </w:p>
        </w:tc>
      </w:tr>
      <w:tr w:rsidR="00B66E16" w:rsidRPr="001232F0" w14:paraId="6C82D272"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47C9A13" w14:textId="77777777" w:rsidR="00B66E16" w:rsidRPr="001232F0" w:rsidRDefault="00B66E16"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7B2F9B13" w14:textId="7D9B84D1"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6C5D0F60" w14:textId="7B61A0A9"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E2EFDA"/>
            <w:noWrap/>
            <w:vAlign w:val="bottom"/>
          </w:tcPr>
          <w:p w14:paraId="4923D03C" w14:textId="7B1A270C"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E2EFDA"/>
            <w:noWrap/>
            <w:vAlign w:val="bottom"/>
          </w:tcPr>
          <w:p w14:paraId="7DF85919" w14:textId="307D284E"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3B7F02FA" w14:textId="63976FF2"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21%</w:t>
            </w:r>
          </w:p>
        </w:tc>
        <w:tc>
          <w:tcPr>
            <w:tcW w:w="1266" w:type="dxa"/>
            <w:tcBorders>
              <w:top w:val="nil"/>
              <w:left w:val="nil"/>
              <w:bottom w:val="single" w:sz="4" w:space="0" w:color="auto"/>
              <w:right w:val="single" w:sz="8" w:space="0" w:color="auto"/>
            </w:tcBorders>
            <w:shd w:val="clear" w:color="000000" w:fill="E2EFDA"/>
            <w:noWrap/>
            <w:vAlign w:val="bottom"/>
          </w:tcPr>
          <w:p w14:paraId="12A20412" w14:textId="1AA919EE"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93%</w:t>
            </w:r>
          </w:p>
        </w:tc>
      </w:tr>
      <w:tr w:rsidR="00B66E16" w:rsidRPr="001232F0" w14:paraId="02875A2A"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1D04A2F" w14:textId="77777777" w:rsidR="00B66E16" w:rsidRPr="001232F0" w:rsidRDefault="00B66E16"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5EBAE722" w14:textId="1648D8AF"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E2EFDA"/>
            <w:noWrap/>
            <w:vAlign w:val="bottom"/>
          </w:tcPr>
          <w:p w14:paraId="4341D925" w14:textId="2D04E12A"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266" w:type="dxa"/>
            <w:tcBorders>
              <w:top w:val="nil"/>
              <w:left w:val="nil"/>
              <w:bottom w:val="single" w:sz="4" w:space="0" w:color="auto"/>
              <w:right w:val="single" w:sz="4" w:space="0" w:color="auto"/>
            </w:tcBorders>
            <w:shd w:val="clear" w:color="000000" w:fill="E2EFDA"/>
            <w:noWrap/>
            <w:vAlign w:val="bottom"/>
          </w:tcPr>
          <w:p w14:paraId="50343975" w14:textId="1918DA68"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w:t>
            </w:r>
          </w:p>
        </w:tc>
        <w:tc>
          <w:tcPr>
            <w:tcW w:w="1154" w:type="dxa"/>
            <w:tcBorders>
              <w:top w:val="nil"/>
              <w:left w:val="nil"/>
              <w:bottom w:val="single" w:sz="4" w:space="0" w:color="auto"/>
              <w:right w:val="single" w:sz="4" w:space="0" w:color="auto"/>
            </w:tcBorders>
            <w:shd w:val="clear" w:color="000000" w:fill="E2EFDA"/>
            <w:noWrap/>
            <w:vAlign w:val="bottom"/>
          </w:tcPr>
          <w:p w14:paraId="7E8D0F3F" w14:textId="5A94458D"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33%</w:t>
            </w:r>
          </w:p>
        </w:tc>
        <w:tc>
          <w:tcPr>
            <w:tcW w:w="1154" w:type="dxa"/>
            <w:tcBorders>
              <w:top w:val="nil"/>
              <w:left w:val="nil"/>
              <w:bottom w:val="single" w:sz="4" w:space="0" w:color="auto"/>
              <w:right w:val="single" w:sz="4" w:space="0" w:color="auto"/>
            </w:tcBorders>
            <w:shd w:val="clear" w:color="000000" w:fill="FFFF00"/>
            <w:noWrap/>
            <w:vAlign w:val="bottom"/>
          </w:tcPr>
          <w:p w14:paraId="048EEA9D" w14:textId="16460279"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42%</w:t>
            </w:r>
          </w:p>
        </w:tc>
        <w:tc>
          <w:tcPr>
            <w:tcW w:w="1266" w:type="dxa"/>
            <w:tcBorders>
              <w:top w:val="nil"/>
              <w:left w:val="nil"/>
              <w:bottom w:val="single" w:sz="4" w:space="0" w:color="auto"/>
              <w:right w:val="single" w:sz="8" w:space="0" w:color="auto"/>
            </w:tcBorders>
            <w:shd w:val="clear" w:color="000000" w:fill="E2EFDA"/>
            <w:noWrap/>
            <w:vAlign w:val="bottom"/>
          </w:tcPr>
          <w:p w14:paraId="79CB2CEC" w14:textId="34F5B4C3"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150%</w:t>
            </w:r>
          </w:p>
        </w:tc>
      </w:tr>
      <w:tr w:rsidR="00B66E16" w:rsidRPr="001232F0" w14:paraId="1BE1EFAA"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D9ABDA0" w14:textId="77777777" w:rsidR="00B66E16" w:rsidRPr="001232F0" w:rsidRDefault="00B66E16"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546957BA" w14:textId="7E00ED5B"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86%</w:t>
            </w:r>
          </w:p>
        </w:tc>
        <w:tc>
          <w:tcPr>
            <w:tcW w:w="1043" w:type="dxa"/>
            <w:tcBorders>
              <w:top w:val="nil"/>
              <w:left w:val="nil"/>
              <w:bottom w:val="single" w:sz="4" w:space="0" w:color="auto"/>
              <w:right w:val="single" w:sz="4" w:space="0" w:color="auto"/>
            </w:tcBorders>
            <w:shd w:val="clear" w:color="000000" w:fill="FFFF00"/>
            <w:noWrap/>
            <w:vAlign w:val="bottom"/>
          </w:tcPr>
          <w:p w14:paraId="685758AE" w14:textId="56E01C93"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89%</w:t>
            </w:r>
          </w:p>
        </w:tc>
        <w:tc>
          <w:tcPr>
            <w:tcW w:w="1266" w:type="dxa"/>
            <w:tcBorders>
              <w:top w:val="nil"/>
              <w:left w:val="nil"/>
              <w:bottom w:val="single" w:sz="4" w:space="0" w:color="auto"/>
              <w:right w:val="single" w:sz="4" w:space="0" w:color="auto"/>
            </w:tcBorders>
            <w:shd w:val="clear" w:color="000000" w:fill="E2EFDA"/>
            <w:noWrap/>
            <w:vAlign w:val="bottom"/>
          </w:tcPr>
          <w:p w14:paraId="79F1EA71" w14:textId="332E70AC"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111%</w:t>
            </w:r>
          </w:p>
        </w:tc>
        <w:tc>
          <w:tcPr>
            <w:tcW w:w="1154" w:type="dxa"/>
            <w:tcBorders>
              <w:top w:val="nil"/>
              <w:left w:val="nil"/>
              <w:bottom w:val="single" w:sz="4" w:space="0" w:color="auto"/>
              <w:right w:val="single" w:sz="4" w:space="0" w:color="auto"/>
            </w:tcBorders>
            <w:shd w:val="clear" w:color="000000" w:fill="E2EFDA"/>
            <w:noWrap/>
            <w:vAlign w:val="bottom"/>
          </w:tcPr>
          <w:p w14:paraId="50BBEC15" w14:textId="379AC4C8"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133%</w:t>
            </w:r>
          </w:p>
        </w:tc>
        <w:tc>
          <w:tcPr>
            <w:tcW w:w="1154" w:type="dxa"/>
            <w:tcBorders>
              <w:top w:val="nil"/>
              <w:left w:val="nil"/>
              <w:bottom w:val="single" w:sz="4" w:space="0" w:color="auto"/>
              <w:right w:val="single" w:sz="4" w:space="0" w:color="auto"/>
            </w:tcBorders>
            <w:shd w:val="clear" w:color="000000" w:fill="E2EFDA"/>
            <w:noWrap/>
            <w:vAlign w:val="bottom"/>
          </w:tcPr>
          <w:p w14:paraId="545CC55C" w14:textId="781E3554"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167%</w:t>
            </w:r>
          </w:p>
        </w:tc>
        <w:tc>
          <w:tcPr>
            <w:tcW w:w="1266" w:type="dxa"/>
            <w:tcBorders>
              <w:top w:val="nil"/>
              <w:left w:val="nil"/>
              <w:bottom w:val="single" w:sz="4" w:space="0" w:color="auto"/>
              <w:right w:val="single" w:sz="8" w:space="0" w:color="auto"/>
            </w:tcBorders>
            <w:shd w:val="clear" w:color="000000" w:fill="E2EFDA"/>
            <w:noWrap/>
            <w:vAlign w:val="bottom"/>
          </w:tcPr>
          <w:p w14:paraId="060C2B33" w14:textId="666B4CC8"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444%</w:t>
            </w:r>
          </w:p>
        </w:tc>
      </w:tr>
      <w:tr w:rsidR="00B66E16" w:rsidRPr="001232F0" w14:paraId="4A58FC04"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5B3FFB6" w14:textId="77777777" w:rsidR="00B66E16" w:rsidRPr="001232F0" w:rsidRDefault="00B66E16"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E2EFDA"/>
            <w:noWrap/>
            <w:vAlign w:val="bottom"/>
          </w:tcPr>
          <w:p w14:paraId="2565B060" w14:textId="2AEFA767"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043" w:type="dxa"/>
            <w:tcBorders>
              <w:top w:val="nil"/>
              <w:left w:val="nil"/>
              <w:bottom w:val="single" w:sz="4" w:space="0" w:color="auto"/>
              <w:right w:val="single" w:sz="4" w:space="0" w:color="auto"/>
            </w:tcBorders>
            <w:shd w:val="clear" w:color="000000" w:fill="FFFF00"/>
            <w:noWrap/>
            <w:vAlign w:val="bottom"/>
          </w:tcPr>
          <w:p w14:paraId="492C22C0" w14:textId="64B0F942"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266" w:type="dxa"/>
            <w:tcBorders>
              <w:top w:val="nil"/>
              <w:left w:val="nil"/>
              <w:bottom w:val="single" w:sz="4" w:space="0" w:color="auto"/>
              <w:right w:val="single" w:sz="4" w:space="0" w:color="auto"/>
            </w:tcBorders>
            <w:shd w:val="clear" w:color="000000" w:fill="E2EFDA"/>
            <w:noWrap/>
            <w:vAlign w:val="bottom"/>
          </w:tcPr>
          <w:p w14:paraId="3D3DEB5A" w14:textId="5419817F"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300%</w:t>
            </w:r>
          </w:p>
        </w:tc>
        <w:tc>
          <w:tcPr>
            <w:tcW w:w="1154" w:type="dxa"/>
            <w:tcBorders>
              <w:top w:val="nil"/>
              <w:left w:val="nil"/>
              <w:bottom w:val="single" w:sz="4" w:space="0" w:color="auto"/>
              <w:right w:val="single" w:sz="4" w:space="0" w:color="auto"/>
            </w:tcBorders>
            <w:shd w:val="clear" w:color="000000" w:fill="E2EFDA"/>
            <w:noWrap/>
            <w:vAlign w:val="bottom"/>
          </w:tcPr>
          <w:p w14:paraId="0B7AC01A" w14:textId="4E8136B2"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550%</w:t>
            </w:r>
          </w:p>
        </w:tc>
        <w:tc>
          <w:tcPr>
            <w:tcW w:w="1154" w:type="dxa"/>
            <w:tcBorders>
              <w:top w:val="nil"/>
              <w:left w:val="nil"/>
              <w:bottom w:val="single" w:sz="4" w:space="0" w:color="auto"/>
              <w:right w:val="single" w:sz="4" w:space="0" w:color="auto"/>
            </w:tcBorders>
            <w:shd w:val="clear" w:color="000000" w:fill="E2EFDA"/>
            <w:noWrap/>
            <w:vAlign w:val="bottom"/>
          </w:tcPr>
          <w:p w14:paraId="7F286834" w14:textId="29FEAB89"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650%</w:t>
            </w:r>
          </w:p>
        </w:tc>
        <w:tc>
          <w:tcPr>
            <w:tcW w:w="1266" w:type="dxa"/>
            <w:tcBorders>
              <w:top w:val="nil"/>
              <w:left w:val="nil"/>
              <w:bottom w:val="single" w:sz="4" w:space="0" w:color="auto"/>
              <w:right w:val="single" w:sz="8" w:space="0" w:color="auto"/>
            </w:tcBorders>
            <w:shd w:val="clear" w:color="000000" w:fill="E2EFDA"/>
            <w:noWrap/>
            <w:vAlign w:val="bottom"/>
          </w:tcPr>
          <w:p w14:paraId="4C328D06" w14:textId="0808C517" w:rsidR="00B66E16" w:rsidRPr="001232F0" w:rsidRDefault="00B66E16"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r w:rsidR="007049EB">
              <w:t>,</w:t>
            </w:r>
            <w:r>
              <w:t>000%</w:t>
            </w:r>
          </w:p>
        </w:tc>
      </w:tr>
      <w:tr w:rsidR="00B66E16" w:rsidRPr="001232F0" w14:paraId="3E5C807B"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2C90150" w14:textId="77777777" w:rsidR="00B66E16" w:rsidRPr="001232F0" w:rsidRDefault="00B66E16"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E2EFDA"/>
            <w:noWrap/>
            <w:vAlign w:val="bottom"/>
          </w:tcPr>
          <w:p w14:paraId="04444E6E" w14:textId="373CCDA7"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200%</w:t>
            </w:r>
          </w:p>
        </w:tc>
        <w:tc>
          <w:tcPr>
            <w:tcW w:w="1043" w:type="dxa"/>
            <w:tcBorders>
              <w:top w:val="nil"/>
              <w:left w:val="nil"/>
              <w:bottom w:val="single" w:sz="8" w:space="0" w:color="auto"/>
              <w:right w:val="single" w:sz="4" w:space="0" w:color="auto"/>
            </w:tcBorders>
            <w:shd w:val="clear" w:color="000000" w:fill="FFFF00"/>
            <w:noWrap/>
            <w:vAlign w:val="bottom"/>
          </w:tcPr>
          <w:p w14:paraId="4B8188CF" w14:textId="4C63BFF5"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160%</w:t>
            </w:r>
          </w:p>
        </w:tc>
        <w:tc>
          <w:tcPr>
            <w:tcW w:w="1266" w:type="dxa"/>
            <w:tcBorders>
              <w:top w:val="nil"/>
              <w:left w:val="nil"/>
              <w:bottom w:val="single" w:sz="8" w:space="0" w:color="auto"/>
              <w:right w:val="single" w:sz="4" w:space="0" w:color="auto"/>
            </w:tcBorders>
            <w:shd w:val="clear" w:color="000000" w:fill="E2EFDA"/>
            <w:noWrap/>
            <w:vAlign w:val="bottom"/>
          </w:tcPr>
          <w:p w14:paraId="436A458A" w14:textId="790D3E2D"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163%</w:t>
            </w:r>
          </w:p>
        </w:tc>
        <w:tc>
          <w:tcPr>
            <w:tcW w:w="1154" w:type="dxa"/>
            <w:tcBorders>
              <w:top w:val="nil"/>
              <w:left w:val="nil"/>
              <w:bottom w:val="single" w:sz="8" w:space="0" w:color="auto"/>
              <w:right w:val="single" w:sz="4" w:space="0" w:color="auto"/>
            </w:tcBorders>
            <w:shd w:val="clear" w:color="000000" w:fill="E2EFDA"/>
            <w:noWrap/>
            <w:vAlign w:val="bottom"/>
          </w:tcPr>
          <w:p w14:paraId="5EFA9EE4" w14:textId="7526361A"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163%</w:t>
            </w:r>
          </w:p>
        </w:tc>
        <w:tc>
          <w:tcPr>
            <w:tcW w:w="1154" w:type="dxa"/>
            <w:tcBorders>
              <w:top w:val="nil"/>
              <w:left w:val="nil"/>
              <w:bottom w:val="single" w:sz="8" w:space="0" w:color="auto"/>
              <w:right w:val="single" w:sz="4" w:space="0" w:color="auto"/>
            </w:tcBorders>
            <w:shd w:val="clear" w:color="000000" w:fill="E2EFDA"/>
            <w:noWrap/>
            <w:vAlign w:val="bottom"/>
          </w:tcPr>
          <w:p w14:paraId="4FAE6FE9" w14:textId="690098D8"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200%</w:t>
            </w:r>
          </w:p>
        </w:tc>
        <w:tc>
          <w:tcPr>
            <w:tcW w:w="1266" w:type="dxa"/>
            <w:tcBorders>
              <w:top w:val="nil"/>
              <w:left w:val="nil"/>
              <w:bottom w:val="single" w:sz="8" w:space="0" w:color="auto"/>
              <w:right w:val="single" w:sz="8" w:space="0" w:color="auto"/>
            </w:tcBorders>
            <w:shd w:val="clear" w:color="000000" w:fill="E2EFDA"/>
            <w:noWrap/>
            <w:vAlign w:val="bottom"/>
          </w:tcPr>
          <w:p w14:paraId="72082ABD" w14:textId="0036B6CF" w:rsidR="00B66E16" w:rsidRPr="001232F0" w:rsidRDefault="00B66E16"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263%</w:t>
            </w:r>
          </w:p>
        </w:tc>
      </w:tr>
    </w:tbl>
    <w:p w14:paraId="1375422A" w14:textId="77777777" w:rsidR="007049EB" w:rsidRDefault="007049EB" w:rsidP="0046618F">
      <w:pPr>
        <w:pStyle w:val="TableFootnote"/>
        <w:rPr>
          <w:lang w:eastAsia="en-AU"/>
        </w:rPr>
      </w:pPr>
    </w:p>
    <w:p w14:paraId="7DB9D735" w14:textId="41964B81" w:rsidR="00A60D51" w:rsidRDefault="00A60D51" w:rsidP="00A60D51">
      <w:pPr>
        <w:pStyle w:val="CaptionTable"/>
        <w:rPr>
          <w:lang w:eastAsia="en-AU"/>
        </w:rPr>
      </w:pPr>
      <w:bookmarkStart w:id="59" w:name="_Toc501111535"/>
      <w:r>
        <w:rPr>
          <w:lang w:eastAsia="en-AU"/>
        </w:rPr>
        <w:t>Increase in number TIs with forecast  LOR2 conditions in Vic Region</w:t>
      </w:r>
      <w:r w:rsidR="007049EB">
        <w:rPr>
          <w:lang w:eastAsia="en-AU"/>
        </w:rPr>
        <w:t xml:space="preserve"> (in the six-year period)</w:t>
      </w:r>
      <w:bookmarkEnd w:id="59"/>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A60D51" w:rsidRPr="00367906" w14:paraId="4EF54140" w14:textId="77777777" w:rsidTr="0046618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D81F501" w14:textId="77777777" w:rsidR="00A60D51" w:rsidRPr="001232F0" w:rsidRDefault="00A60D51"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5DA0FECE"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045BFDB4"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5820A633"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7794DB20"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24A74A58"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40DBE537"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C9707E" w:rsidRPr="001232F0" w14:paraId="2E1A16EA"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1D51F06" w14:textId="77777777" w:rsidR="00C9707E" w:rsidRPr="001232F0" w:rsidRDefault="00C9707E" w:rsidP="0046618F">
            <w:pPr>
              <w:pStyle w:val="TableNumber"/>
              <w:rPr>
                <w:lang w:eastAsia="en-AU"/>
              </w:rPr>
            </w:pPr>
            <w:r w:rsidRPr="001232F0">
              <w:rPr>
                <w:lang w:eastAsia="en-AU"/>
              </w:rPr>
              <w:t>2</w:t>
            </w:r>
          </w:p>
        </w:tc>
        <w:tc>
          <w:tcPr>
            <w:tcW w:w="997" w:type="dxa"/>
            <w:tcBorders>
              <w:top w:val="single" w:sz="8" w:space="0" w:color="auto"/>
              <w:left w:val="single" w:sz="4" w:space="0" w:color="auto"/>
              <w:bottom w:val="single" w:sz="4" w:space="0" w:color="auto"/>
              <w:right w:val="single" w:sz="4" w:space="0" w:color="auto"/>
            </w:tcBorders>
            <w:shd w:val="clear" w:color="000000" w:fill="E2EFDA"/>
            <w:noWrap/>
            <w:vAlign w:val="bottom"/>
          </w:tcPr>
          <w:p w14:paraId="5813FCCC" w14:textId="30018AC3"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11D6133A" w14:textId="018090E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E2EFDA"/>
            <w:noWrap/>
            <w:vAlign w:val="bottom"/>
          </w:tcPr>
          <w:p w14:paraId="5CAC47E0" w14:textId="0D4DC66F"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E2EFDA"/>
            <w:noWrap/>
            <w:vAlign w:val="bottom"/>
          </w:tcPr>
          <w:p w14:paraId="584E31DE" w14:textId="64851A1A"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4ADBF527" w14:textId="07621F5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8" w:space="0" w:color="auto"/>
            </w:tcBorders>
            <w:shd w:val="clear" w:color="000000" w:fill="E2EFDA"/>
            <w:noWrap/>
            <w:vAlign w:val="bottom"/>
          </w:tcPr>
          <w:p w14:paraId="7358BB65" w14:textId="2A89250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w:t>
            </w:r>
          </w:p>
        </w:tc>
      </w:tr>
      <w:tr w:rsidR="00C9707E" w:rsidRPr="001232F0" w14:paraId="5C3972FC"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39EDE759" w14:textId="77777777" w:rsidR="00C9707E" w:rsidRPr="001232F0" w:rsidRDefault="00C9707E"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76D12116" w14:textId="60E0E4F8"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E2EFDA"/>
            <w:noWrap/>
            <w:vAlign w:val="bottom"/>
          </w:tcPr>
          <w:p w14:paraId="4FEF4E70" w14:textId="1F24ACF2"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E2EFDA"/>
            <w:noWrap/>
            <w:vAlign w:val="bottom"/>
          </w:tcPr>
          <w:p w14:paraId="2AA10BDC" w14:textId="1CB5453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7F50C358" w14:textId="7756D54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FFFF00"/>
            <w:noWrap/>
            <w:vAlign w:val="bottom"/>
          </w:tcPr>
          <w:p w14:paraId="586311A9" w14:textId="3C6CDAFC"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w:t>
            </w:r>
          </w:p>
        </w:tc>
        <w:tc>
          <w:tcPr>
            <w:tcW w:w="1134" w:type="dxa"/>
            <w:tcBorders>
              <w:top w:val="nil"/>
              <w:left w:val="nil"/>
              <w:bottom w:val="single" w:sz="4" w:space="0" w:color="auto"/>
              <w:right w:val="single" w:sz="8" w:space="0" w:color="auto"/>
            </w:tcBorders>
            <w:shd w:val="clear" w:color="000000" w:fill="E2EFDA"/>
            <w:noWrap/>
            <w:vAlign w:val="bottom"/>
          </w:tcPr>
          <w:p w14:paraId="6BA962A0" w14:textId="74D3F385"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18</w:t>
            </w:r>
          </w:p>
        </w:tc>
      </w:tr>
      <w:tr w:rsidR="00C9707E" w:rsidRPr="001232F0" w14:paraId="7D3FD310"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2FD05E4" w14:textId="77777777" w:rsidR="00C9707E" w:rsidRPr="001232F0" w:rsidRDefault="00C9707E"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5FD7B539" w14:textId="5BB1DBAF"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1502ACA" w14:textId="7AD01E83"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2B86747B" w14:textId="415CE0CE"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E2EFDA"/>
            <w:noWrap/>
            <w:vAlign w:val="bottom"/>
          </w:tcPr>
          <w:p w14:paraId="602F5824" w14:textId="7CBDFE5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13554588" w14:textId="7C9774E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w:t>
            </w:r>
          </w:p>
        </w:tc>
        <w:tc>
          <w:tcPr>
            <w:tcW w:w="1134" w:type="dxa"/>
            <w:tcBorders>
              <w:top w:val="nil"/>
              <w:left w:val="nil"/>
              <w:bottom w:val="single" w:sz="4" w:space="0" w:color="auto"/>
              <w:right w:val="single" w:sz="8" w:space="0" w:color="auto"/>
            </w:tcBorders>
            <w:shd w:val="clear" w:color="000000" w:fill="E2EFDA"/>
            <w:noWrap/>
            <w:vAlign w:val="bottom"/>
          </w:tcPr>
          <w:p w14:paraId="49592DD3" w14:textId="2DCFB8D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13</w:t>
            </w:r>
          </w:p>
        </w:tc>
      </w:tr>
      <w:tr w:rsidR="00C9707E" w:rsidRPr="001232F0" w14:paraId="20BDBEC8"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490FDBB" w14:textId="77777777" w:rsidR="00C9707E" w:rsidRPr="001232F0" w:rsidRDefault="00C9707E"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1962BE96" w14:textId="276CBB00"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E2EFDA"/>
            <w:noWrap/>
            <w:vAlign w:val="bottom"/>
          </w:tcPr>
          <w:p w14:paraId="7C363730" w14:textId="14D524CB"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134" w:type="dxa"/>
            <w:tcBorders>
              <w:top w:val="nil"/>
              <w:left w:val="nil"/>
              <w:bottom w:val="single" w:sz="4" w:space="0" w:color="auto"/>
              <w:right w:val="single" w:sz="4" w:space="0" w:color="auto"/>
            </w:tcBorders>
            <w:shd w:val="clear" w:color="000000" w:fill="E2EFDA"/>
            <w:noWrap/>
            <w:vAlign w:val="bottom"/>
          </w:tcPr>
          <w:p w14:paraId="46F01D34" w14:textId="720211F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w:t>
            </w:r>
          </w:p>
        </w:tc>
        <w:tc>
          <w:tcPr>
            <w:tcW w:w="1276" w:type="dxa"/>
            <w:tcBorders>
              <w:top w:val="nil"/>
              <w:left w:val="nil"/>
              <w:bottom w:val="single" w:sz="4" w:space="0" w:color="auto"/>
              <w:right w:val="single" w:sz="4" w:space="0" w:color="auto"/>
            </w:tcBorders>
            <w:shd w:val="clear" w:color="000000" w:fill="E2EFDA"/>
            <w:noWrap/>
            <w:vAlign w:val="bottom"/>
          </w:tcPr>
          <w:p w14:paraId="049D3BF8" w14:textId="45335CC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276" w:type="dxa"/>
            <w:tcBorders>
              <w:top w:val="nil"/>
              <w:left w:val="nil"/>
              <w:bottom w:val="single" w:sz="4" w:space="0" w:color="auto"/>
              <w:right w:val="single" w:sz="4" w:space="0" w:color="auto"/>
            </w:tcBorders>
            <w:shd w:val="clear" w:color="000000" w:fill="FFFF00"/>
            <w:noWrap/>
            <w:vAlign w:val="bottom"/>
          </w:tcPr>
          <w:p w14:paraId="1F125809" w14:textId="55E0B458"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p>
        </w:tc>
        <w:tc>
          <w:tcPr>
            <w:tcW w:w="1134" w:type="dxa"/>
            <w:tcBorders>
              <w:top w:val="nil"/>
              <w:left w:val="nil"/>
              <w:bottom w:val="single" w:sz="4" w:space="0" w:color="auto"/>
              <w:right w:val="single" w:sz="8" w:space="0" w:color="auto"/>
            </w:tcBorders>
            <w:shd w:val="clear" w:color="000000" w:fill="E2EFDA"/>
            <w:noWrap/>
            <w:vAlign w:val="bottom"/>
          </w:tcPr>
          <w:p w14:paraId="1DC81AED" w14:textId="731CA3C5"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18</w:t>
            </w:r>
          </w:p>
        </w:tc>
      </w:tr>
      <w:tr w:rsidR="00C9707E" w:rsidRPr="001232F0" w14:paraId="42CC1B11"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A4CB97A" w14:textId="77777777" w:rsidR="00C9707E" w:rsidRPr="001232F0" w:rsidRDefault="00C9707E"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5C744759" w14:textId="687BEDEF"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c>
          <w:tcPr>
            <w:tcW w:w="1134" w:type="dxa"/>
            <w:tcBorders>
              <w:top w:val="nil"/>
              <w:left w:val="nil"/>
              <w:bottom w:val="single" w:sz="4" w:space="0" w:color="auto"/>
              <w:right w:val="single" w:sz="4" w:space="0" w:color="auto"/>
            </w:tcBorders>
            <w:shd w:val="clear" w:color="000000" w:fill="FFFF00"/>
            <w:noWrap/>
            <w:vAlign w:val="bottom"/>
          </w:tcPr>
          <w:p w14:paraId="73E20CDA" w14:textId="13529486"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134" w:type="dxa"/>
            <w:tcBorders>
              <w:top w:val="nil"/>
              <w:left w:val="nil"/>
              <w:bottom w:val="single" w:sz="4" w:space="0" w:color="auto"/>
              <w:right w:val="single" w:sz="4" w:space="0" w:color="auto"/>
            </w:tcBorders>
            <w:shd w:val="clear" w:color="000000" w:fill="E2EFDA"/>
            <w:noWrap/>
            <w:vAlign w:val="bottom"/>
          </w:tcPr>
          <w:p w14:paraId="4213FA23" w14:textId="61F0F5C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10</w:t>
            </w:r>
          </w:p>
        </w:tc>
        <w:tc>
          <w:tcPr>
            <w:tcW w:w="1276" w:type="dxa"/>
            <w:tcBorders>
              <w:top w:val="nil"/>
              <w:left w:val="nil"/>
              <w:bottom w:val="single" w:sz="4" w:space="0" w:color="auto"/>
              <w:right w:val="single" w:sz="4" w:space="0" w:color="auto"/>
            </w:tcBorders>
            <w:shd w:val="clear" w:color="000000" w:fill="E2EFDA"/>
            <w:noWrap/>
            <w:vAlign w:val="bottom"/>
          </w:tcPr>
          <w:p w14:paraId="136FDCC5" w14:textId="5F10096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12</w:t>
            </w:r>
          </w:p>
        </w:tc>
        <w:tc>
          <w:tcPr>
            <w:tcW w:w="1276" w:type="dxa"/>
            <w:tcBorders>
              <w:top w:val="nil"/>
              <w:left w:val="nil"/>
              <w:bottom w:val="single" w:sz="4" w:space="0" w:color="auto"/>
              <w:right w:val="single" w:sz="4" w:space="0" w:color="auto"/>
            </w:tcBorders>
            <w:shd w:val="clear" w:color="000000" w:fill="E2EFDA"/>
            <w:noWrap/>
            <w:vAlign w:val="bottom"/>
          </w:tcPr>
          <w:p w14:paraId="4575330E" w14:textId="32A97EB4"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15</w:t>
            </w:r>
          </w:p>
        </w:tc>
        <w:tc>
          <w:tcPr>
            <w:tcW w:w="1134" w:type="dxa"/>
            <w:tcBorders>
              <w:top w:val="nil"/>
              <w:left w:val="nil"/>
              <w:bottom w:val="single" w:sz="4" w:space="0" w:color="auto"/>
              <w:right w:val="single" w:sz="8" w:space="0" w:color="auto"/>
            </w:tcBorders>
            <w:shd w:val="clear" w:color="000000" w:fill="E2EFDA"/>
            <w:noWrap/>
            <w:vAlign w:val="bottom"/>
          </w:tcPr>
          <w:p w14:paraId="3C34707C" w14:textId="4944A8C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40</w:t>
            </w:r>
          </w:p>
        </w:tc>
      </w:tr>
      <w:tr w:rsidR="00C9707E" w:rsidRPr="001232F0" w14:paraId="1083C8DE"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B3722BC" w14:textId="77777777" w:rsidR="00C9707E" w:rsidRPr="001232F0" w:rsidRDefault="00C9707E"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E2EFDA"/>
            <w:noWrap/>
            <w:vAlign w:val="bottom"/>
          </w:tcPr>
          <w:p w14:paraId="7D3C4BAD" w14:textId="664DEED6"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12</w:t>
            </w:r>
          </w:p>
        </w:tc>
        <w:tc>
          <w:tcPr>
            <w:tcW w:w="1134" w:type="dxa"/>
            <w:tcBorders>
              <w:top w:val="nil"/>
              <w:left w:val="nil"/>
              <w:bottom w:val="single" w:sz="4" w:space="0" w:color="auto"/>
              <w:right w:val="single" w:sz="4" w:space="0" w:color="auto"/>
            </w:tcBorders>
            <w:shd w:val="clear" w:color="000000" w:fill="FFFF00"/>
            <w:noWrap/>
            <w:vAlign w:val="bottom"/>
          </w:tcPr>
          <w:p w14:paraId="0D3033B2" w14:textId="188EE581"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16</w:t>
            </w:r>
          </w:p>
        </w:tc>
        <w:tc>
          <w:tcPr>
            <w:tcW w:w="1134" w:type="dxa"/>
            <w:tcBorders>
              <w:top w:val="nil"/>
              <w:left w:val="nil"/>
              <w:bottom w:val="single" w:sz="4" w:space="0" w:color="auto"/>
              <w:right w:val="single" w:sz="4" w:space="0" w:color="auto"/>
            </w:tcBorders>
            <w:shd w:val="clear" w:color="000000" w:fill="E2EFDA"/>
            <w:noWrap/>
            <w:vAlign w:val="bottom"/>
          </w:tcPr>
          <w:p w14:paraId="0D3BF348" w14:textId="59970B9F"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24</w:t>
            </w:r>
          </w:p>
        </w:tc>
        <w:tc>
          <w:tcPr>
            <w:tcW w:w="1276" w:type="dxa"/>
            <w:tcBorders>
              <w:top w:val="nil"/>
              <w:left w:val="nil"/>
              <w:bottom w:val="single" w:sz="4" w:space="0" w:color="auto"/>
              <w:right w:val="single" w:sz="4" w:space="0" w:color="auto"/>
            </w:tcBorders>
            <w:shd w:val="clear" w:color="000000" w:fill="E2EFDA"/>
            <w:noWrap/>
            <w:vAlign w:val="bottom"/>
          </w:tcPr>
          <w:p w14:paraId="4FF0CCCC" w14:textId="798D9999"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44</w:t>
            </w:r>
          </w:p>
        </w:tc>
        <w:tc>
          <w:tcPr>
            <w:tcW w:w="1276" w:type="dxa"/>
            <w:tcBorders>
              <w:top w:val="nil"/>
              <w:left w:val="nil"/>
              <w:bottom w:val="single" w:sz="4" w:space="0" w:color="auto"/>
              <w:right w:val="single" w:sz="4" w:space="0" w:color="auto"/>
            </w:tcBorders>
            <w:shd w:val="clear" w:color="000000" w:fill="E2EFDA"/>
            <w:noWrap/>
            <w:vAlign w:val="bottom"/>
          </w:tcPr>
          <w:p w14:paraId="63ED9E6D" w14:textId="69AB5741"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52</w:t>
            </w:r>
          </w:p>
        </w:tc>
        <w:tc>
          <w:tcPr>
            <w:tcW w:w="1134" w:type="dxa"/>
            <w:tcBorders>
              <w:top w:val="nil"/>
              <w:left w:val="nil"/>
              <w:bottom w:val="single" w:sz="4" w:space="0" w:color="auto"/>
              <w:right w:val="single" w:sz="8" w:space="0" w:color="auto"/>
            </w:tcBorders>
            <w:shd w:val="clear" w:color="000000" w:fill="E2EFDA"/>
            <w:noWrap/>
            <w:vAlign w:val="bottom"/>
          </w:tcPr>
          <w:p w14:paraId="2DE3A027" w14:textId="2D3475AB"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80</w:t>
            </w:r>
          </w:p>
        </w:tc>
      </w:tr>
      <w:tr w:rsidR="00C9707E" w:rsidRPr="001232F0" w14:paraId="2E900480"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ABDB82E" w14:textId="77777777" w:rsidR="00C9707E" w:rsidRPr="001232F0" w:rsidRDefault="00C9707E"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E2EFDA"/>
            <w:noWrap/>
            <w:vAlign w:val="bottom"/>
          </w:tcPr>
          <w:p w14:paraId="4B4F73C8" w14:textId="2D3A7483"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16</w:t>
            </w:r>
          </w:p>
        </w:tc>
        <w:tc>
          <w:tcPr>
            <w:tcW w:w="1134" w:type="dxa"/>
            <w:tcBorders>
              <w:top w:val="nil"/>
              <w:left w:val="nil"/>
              <w:bottom w:val="nil"/>
              <w:right w:val="single" w:sz="4" w:space="0" w:color="auto"/>
            </w:tcBorders>
            <w:shd w:val="clear" w:color="000000" w:fill="FFFF00"/>
            <w:noWrap/>
            <w:vAlign w:val="bottom"/>
          </w:tcPr>
          <w:p w14:paraId="4219ACE7" w14:textId="7D39A1B3"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32</w:t>
            </w:r>
          </w:p>
        </w:tc>
        <w:tc>
          <w:tcPr>
            <w:tcW w:w="1134" w:type="dxa"/>
            <w:tcBorders>
              <w:top w:val="nil"/>
              <w:left w:val="nil"/>
              <w:bottom w:val="nil"/>
              <w:right w:val="single" w:sz="4" w:space="0" w:color="auto"/>
            </w:tcBorders>
            <w:shd w:val="clear" w:color="000000" w:fill="E2EFDA"/>
            <w:noWrap/>
            <w:vAlign w:val="bottom"/>
          </w:tcPr>
          <w:p w14:paraId="6E0AED50" w14:textId="5FF2EE0F"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52</w:t>
            </w:r>
          </w:p>
        </w:tc>
        <w:tc>
          <w:tcPr>
            <w:tcW w:w="1276" w:type="dxa"/>
            <w:tcBorders>
              <w:top w:val="nil"/>
              <w:left w:val="nil"/>
              <w:bottom w:val="nil"/>
              <w:right w:val="single" w:sz="4" w:space="0" w:color="auto"/>
            </w:tcBorders>
            <w:shd w:val="clear" w:color="000000" w:fill="E2EFDA"/>
            <w:noWrap/>
            <w:vAlign w:val="bottom"/>
          </w:tcPr>
          <w:p w14:paraId="343EF645" w14:textId="6E584014"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52</w:t>
            </w:r>
          </w:p>
        </w:tc>
        <w:tc>
          <w:tcPr>
            <w:tcW w:w="1276" w:type="dxa"/>
            <w:tcBorders>
              <w:top w:val="nil"/>
              <w:left w:val="nil"/>
              <w:bottom w:val="nil"/>
              <w:right w:val="single" w:sz="4" w:space="0" w:color="auto"/>
            </w:tcBorders>
            <w:shd w:val="clear" w:color="000000" w:fill="E2EFDA"/>
            <w:noWrap/>
            <w:vAlign w:val="bottom"/>
          </w:tcPr>
          <w:p w14:paraId="6E7A9798" w14:textId="58DFE119"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64</w:t>
            </w:r>
          </w:p>
        </w:tc>
        <w:tc>
          <w:tcPr>
            <w:tcW w:w="1134" w:type="dxa"/>
            <w:tcBorders>
              <w:top w:val="nil"/>
              <w:left w:val="nil"/>
              <w:bottom w:val="nil"/>
              <w:right w:val="single" w:sz="8" w:space="0" w:color="auto"/>
            </w:tcBorders>
            <w:shd w:val="clear" w:color="000000" w:fill="E2EFDA"/>
            <w:noWrap/>
            <w:vAlign w:val="bottom"/>
          </w:tcPr>
          <w:p w14:paraId="70169CF3" w14:textId="57DFA291"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84</w:t>
            </w:r>
          </w:p>
        </w:tc>
      </w:tr>
    </w:tbl>
    <w:p w14:paraId="44867CD3" w14:textId="77777777" w:rsidR="007049EB" w:rsidRDefault="007049EB" w:rsidP="0046618F">
      <w:pPr>
        <w:pStyle w:val="TableFootnote"/>
        <w:rPr>
          <w:lang w:eastAsia="en-AU"/>
        </w:rPr>
      </w:pPr>
    </w:p>
    <w:p w14:paraId="2CAB44EF" w14:textId="77777777" w:rsidR="007049EB" w:rsidRDefault="007049EB">
      <w:pPr>
        <w:spacing w:after="160" w:line="259" w:lineRule="auto"/>
        <w:jc w:val="left"/>
        <w:rPr>
          <w:b/>
          <w:bCs/>
          <w:sz w:val="18"/>
          <w:szCs w:val="18"/>
          <w:lang w:eastAsia="en-AU"/>
        </w:rPr>
      </w:pPr>
      <w:r>
        <w:rPr>
          <w:lang w:eastAsia="en-AU"/>
        </w:rPr>
        <w:br w:type="page"/>
      </w:r>
    </w:p>
    <w:p w14:paraId="66095D77" w14:textId="5A04760A" w:rsidR="00A60D51" w:rsidRDefault="00A60D51" w:rsidP="00A60D51">
      <w:pPr>
        <w:pStyle w:val="CaptionTable"/>
        <w:rPr>
          <w:lang w:eastAsia="en-AU"/>
        </w:rPr>
      </w:pPr>
      <w:bookmarkStart w:id="60" w:name="_Toc501111536"/>
      <w:r>
        <w:rPr>
          <w:lang w:eastAsia="en-AU"/>
        </w:rPr>
        <w:t>Percentage Increase in forecast  LOR1 conditions in Vic Region</w:t>
      </w:r>
      <w:r w:rsidR="007049EB">
        <w:rPr>
          <w:lang w:eastAsia="en-AU"/>
        </w:rPr>
        <w:t xml:space="preserve"> (in the six-year period)</w:t>
      </w:r>
      <w:bookmarkEnd w:id="60"/>
    </w:p>
    <w:tbl>
      <w:tblPr>
        <w:tblStyle w:val="PlainTable1"/>
        <w:tblW w:w="8192"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1043"/>
        <w:gridCol w:w="1043"/>
        <w:gridCol w:w="1266"/>
        <w:gridCol w:w="1154"/>
        <w:gridCol w:w="1154"/>
        <w:gridCol w:w="1266"/>
      </w:tblGrid>
      <w:tr w:rsidR="00A60D51" w:rsidRPr="00367906" w14:paraId="1A3B4488" w14:textId="77777777" w:rsidTr="0046618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10539C90" w14:textId="77777777" w:rsidR="00A60D51" w:rsidRPr="001232F0" w:rsidRDefault="00A60D51" w:rsidP="0046618F">
            <w:pPr>
              <w:pStyle w:val="TableTitle"/>
              <w:rPr>
                <w:lang w:eastAsia="en-AU"/>
              </w:rPr>
            </w:pPr>
            <w:r w:rsidRPr="001232F0">
              <w:rPr>
                <w:lang w:eastAsia="en-AU"/>
              </w:rPr>
              <w:t>Forecasting horizon (hrs)</w:t>
            </w:r>
          </w:p>
        </w:tc>
        <w:tc>
          <w:tcPr>
            <w:tcW w:w="1043" w:type="dxa"/>
            <w:shd w:val="clear" w:color="auto" w:fill="BFBFBF" w:themeFill="background1" w:themeFillShade="BF"/>
            <w:hideMark/>
          </w:tcPr>
          <w:p w14:paraId="72A9FD3A"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043" w:type="dxa"/>
            <w:shd w:val="clear" w:color="auto" w:fill="BFBFBF" w:themeFill="background1" w:themeFillShade="BF"/>
            <w:hideMark/>
          </w:tcPr>
          <w:p w14:paraId="7E648DC2"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266" w:type="dxa"/>
            <w:shd w:val="clear" w:color="auto" w:fill="BFBFBF" w:themeFill="background1" w:themeFillShade="BF"/>
            <w:hideMark/>
          </w:tcPr>
          <w:p w14:paraId="729F36B2"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154" w:type="dxa"/>
            <w:shd w:val="clear" w:color="auto" w:fill="BFBFBF" w:themeFill="background1" w:themeFillShade="BF"/>
            <w:hideMark/>
          </w:tcPr>
          <w:p w14:paraId="6102482B"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154" w:type="dxa"/>
            <w:shd w:val="clear" w:color="auto" w:fill="BFBFBF" w:themeFill="background1" w:themeFillShade="BF"/>
            <w:hideMark/>
          </w:tcPr>
          <w:p w14:paraId="2F977D0D"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266" w:type="dxa"/>
            <w:shd w:val="clear" w:color="auto" w:fill="BFBFBF" w:themeFill="background1" w:themeFillShade="BF"/>
            <w:hideMark/>
          </w:tcPr>
          <w:p w14:paraId="61A536FC"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C9707E" w:rsidRPr="001232F0" w14:paraId="51AB1714"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EC0C6DB" w14:textId="77777777" w:rsidR="00C9707E" w:rsidRPr="001232F0" w:rsidRDefault="00C9707E" w:rsidP="0046618F">
            <w:pPr>
              <w:pStyle w:val="TableNumber"/>
              <w:rPr>
                <w:lang w:eastAsia="en-AU"/>
              </w:rPr>
            </w:pPr>
            <w:r w:rsidRPr="001232F0">
              <w:rPr>
                <w:lang w:eastAsia="en-AU"/>
              </w:rPr>
              <w:t>2</w:t>
            </w:r>
          </w:p>
        </w:tc>
        <w:tc>
          <w:tcPr>
            <w:tcW w:w="1043"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7499BB43" w14:textId="3CBEBCD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single" w:sz="8" w:space="0" w:color="auto"/>
              <w:left w:val="nil"/>
              <w:bottom w:val="single" w:sz="4" w:space="0" w:color="auto"/>
              <w:right w:val="single" w:sz="4" w:space="0" w:color="auto"/>
            </w:tcBorders>
            <w:shd w:val="clear" w:color="000000" w:fill="BDD7EE"/>
            <w:noWrap/>
            <w:vAlign w:val="bottom"/>
          </w:tcPr>
          <w:p w14:paraId="48B1F559" w14:textId="55C27FB3"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6E1E227C" w14:textId="0EBA19BB"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BDD7EE"/>
            <w:noWrap/>
            <w:vAlign w:val="bottom"/>
          </w:tcPr>
          <w:p w14:paraId="151DD002" w14:textId="2291058E"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single" w:sz="8" w:space="0" w:color="auto"/>
              <w:left w:val="nil"/>
              <w:bottom w:val="single" w:sz="4" w:space="0" w:color="auto"/>
              <w:right w:val="single" w:sz="4" w:space="0" w:color="auto"/>
            </w:tcBorders>
            <w:shd w:val="clear" w:color="000000" w:fill="FFFF00"/>
            <w:noWrap/>
            <w:vAlign w:val="bottom"/>
          </w:tcPr>
          <w:p w14:paraId="33C19200" w14:textId="761C9B1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single" w:sz="8" w:space="0" w:color="auto"/>
              <w:left w:val="nil"/>
              <w:bottom w:val="single" w:sz="4" w:space="0" w:color="auto"/>
              <w:right w:val="single" w:sz="4" w:space="0" w:color="auto"/>
            </w:tcBorders>
            <w:shd w:val="clear" w:color="000000" w:fill="BDD7EE"/>
            <w:noWrap/>
            <w:vAlign w:val="bottom"/>
          </w:tcPr>
          <w:p w14:paraId="240AE976" w14:textId="678C5064"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15%</w:t>
            </w:r>
          </w:p>
        </w:tc>
      </w:tr>
      <w:tr w:rsidR="00C9707E" w:rsidRPr="001232F0" w14:paraId="4DE57484"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BA1317C" w14:textId="77777777" w:rsidR="00C9707E" w:rsidRPr="001232F0" w:rsidRDefault="00C9707E" w:rsidP="0046618F">
            <w:pPr>
              <w:pStyle w:val="TableNumber"/>
              <w:rPr>
                <w:lang w:eastAsia="en-AU"/>
              </w:rPr>
            </w:pPr>
            <w:r w:rsidRPr="001232F0">
              <w:rPr>
                <w:lang w:eastAsia="en-AU"/>
              </w:rPr>
              <w:t>6</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61F42601" w14:textId="2EBAFCEB"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6E62EAE6" w14:textId="5BF3348F"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63DA6107" w14:textId="1B1E77E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4BC943E7" w14:textId="355AE5C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033EC026" w14:textId="3C329C16"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195E335F" w14:textId="574BCE43"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26%</w:t>
            </w:r>
          </w:p>
        </w:tc>
      </w:tr>
      <w:tr w:rsidR="00C9707E" w:rsidRPr="001232F0" w14:paraId="378EEBE1"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6B3D4DA" w14:textId="77777777" w:rsidR="00C9707E" w:rsidRPr="001232F0" w:rsidRDefault="00C9707E" w:rsidP="0046618F">
            <w:pPr>
              <w:pStyle w:val="TableNumber"/>
              <w:rPr>
                <w:lang w:eastAsia="en-AU"/>
              </w:rPr>
            </w:pPr>
            <w:r w:rsidRPr="001232F0">
              <w:rPr>
                <w:lang w:eastAsia="en-AU"/>
              </w:rPr>
              <w:t>9</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6BF9946C" w14:textId="0C3EC3BB"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60BFDC5B" w14:textId="754E15C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3B758944" w14:textId="588B824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271FD95C" w14:textId="0F32604E"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0BE2683B" w14:textId="526F057E"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7C54FB1" w14:textId="14CDC5C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23%</w:t>
            </w:r>
          </w:p>
        </w:tc>
      </w:tr>
      <w:tr w:rsidR="00C9707E" w:rsidRPr="001232F0" w14:paraId="32AA8789"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0FBE185" w14:textId="77777777" w:rsidR="00C9707E" w:rsidRPr="001232F0" w:rsidRDefault="00C9707E" w:rsidP="0046618F">
            <w:pPr>
              <w:pStyle w:val="TableNumber"/>
              <w:rPr>
                <w:lang w:eastAsia="en-AU"/>
              </w:rPr>
            </w:pPr>
            <w:r w:rsidRPr="001232F0">
              <w:rPr>
                <w:lang w:eastAsia="en-AU"/>
              </w:rPr>
              <w:t>12</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5A07696E" w14:textId="0B1247E8"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BDD7EE"/>
            <w:noWrap/>
            <w:vAlign w:val="bottom"/>
          </w:tcPr>
          <w:p w14:paraId="6964910D" w14:textId="2E66EEB4"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521DA133" w14:textId="5EE4FF6F"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55BDF692" w14:textId="2A73C695"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FFFF00"/>
            <w:noWrap/>
            <w:vAlign w:val="bottom"/>
          </w:tcPr>
          <w:p w14:paraId="73A91F18" w14:textId="375A0F2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3A1AD6AD" w14:textId="6A3AE08C"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19%</w:t>
            </w:r>
          </w:p>
        </w:tc>
      </w:tr>
      <w:tr w:rsidR="00C9707E" w:rsidRPr="001232F0" w14:paraId="3DA94BBA"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31E60B2" w14:textId="77777777" w:rsidR="00C9707E" w:rsidRPr="001232F0" w:rsidRDefault="00C9707E" w:rsidP="0046618F">
            <w:pPr>
              <w:pStyle w:val="TableNumber"/>
              <w:rPr>
                <w:lang w:eastAsia="en-AU"/>
              </w:rPr>
            </w:pPr>
            <w:r w:rsidRPr="001232F0">
              <w:rPr>
                <w:lang w:eastAsia="en-AU"/>
              </w:rPr>
              <w:t>24</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4F7062E8" w14:textId="7FD916C7"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258F3ABF" w14:textId="62CD097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02CD6A69" w14:textId="06C27E8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1D77FA64" w14:textId="192730A6"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54" w:type="dxa"/>
            <w:tcBorders>
              <w:top w:val="nil"/>
              <w:left w:val="nil"/>
              <w:bottom w:val="single" w:sz="4" w:space="0" w:color="auto"/>
              <w:right w:val="single" w:sz="4" w:space="0" w:color="auto"/>
            </w:tcBorders>
            <w:shd w:val="clear" w:color="000000" w:fill="BDD7EE"/>
            <w:noWrap/>
            <w:vAlign w:val="bottom"/>
          </w:tcPr>
          <w:p w14:paraId="1ECD834F" w14:textId="0D6FB7F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266" w:type="dxa"/>
            <w:tcBorders>
              <w:top w:val="nil"/>
              <w:left w:val="nil"/>
              <w:bottom w:val="single" w:sz="4" w:space="0" w:color="auto"/>
              <w:right w:val="single" w:sz="4" w:space="0" w:color="auto"/>
            </w:tcBorders>
            <w:shd w:val="clear" w:color="000000" w:fill="BDD7EE"/>
            <w:noWrap/>
            <w:vAlign w:val="bottom"/>
          </w:tcPr>
          <w:p w14:paraId="4D3321EC" w14:textId="53E7CF64"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96%</w:t>
            </w:r>
          </w:p>
        </w:tc>
      </w:tr>
      <w:tr w:rsidR="00C9707E" w:rsidRPr="001232F0" w14:paraId="760D3C66"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22CAF51D" w14:textId="77777777" w:rsidR="00C9707E" w:rsidRPr="001232F0" w:rsidRDefault="00C9707E" w:rsidP="0046618F">
            <w:pPr>
              <w:pStyle w:val="TableNumber"/>
              <w:rPr>
                <w:lang w:eastAsia="en-AU"/>
              </w:rPr>
            </w:pPr>
            <w:r w:rsidRPr="001232F0">
              <w:rPr>
                <w:lang w:eastAsia="en-AU"/>
              </w:rPr>
              <w:t>48</w:t>
            </w:r>
          </w:p>
        </w:tc>
        <w:tc>
          <w:tcPr>
            <w:tcW w:w="1043" w:type="dxa"/>
            <w:tcBorders>
              <w:top w:val="nil"/>
              <w:left w:val="single" w:sz="4" w:space="0" w:color="auto"/>
              <w:bottom w:val="single" w:sz="4" w:space="0" w:color="auto"/>
              <w:right w:val="single" w:sz="4" w:space="0" w:color="auto"/>
            </w:tcBorders>
            <w:shd w:val="clear" w:color="000000" w:fill="BDD7EE"/>
            <w:noWrap/>
            <w:vAlign w:val="bottom"/>
          </w:tcPr>
          <w:p w14:paraId="5F2A2B81" w14:textId="0D43F73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043" w:type="dxa"/>
            <w:tcBorders>
              <w:top w:val="nil"/>
              <w:left w:val="nil"/>
              <w:bottom w:val="single" w:sz="4" w:space="0" w:color="auto"/>
              <w:right w:val="single" w:sz="4" w:space="0" w:color="auto"/>
            </w:tcBorders>
            <w:shd w:val="clear" w:color="000000" w:fill="FFFF00"/>
            <w:noWrap/>
            <w:vAlign w:val="bottom"/>
          </w:tcPr>
          <w:p w14:paraId="6FD3E920" w14:textId="7E631BF1"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66" w:type="dxa"/>
            <w:tcBorders>
              <w:top w:val="nil"/>
              <w:left w:val="nil"/>
              <w:bottom w:val="single" w:sz="4" w:space="0" w:color="auto"/>
              <w:right w:val="single" w:sz="4" w:space="0" w:color="auto"/>
            </w:tcBorders>
            <w:shd w:val="clear" w:color="000000" w:fill="BDD7EE"/>
            <w:noWrap/>
            <w:vAlign w:val="bottom"/>
          </w:tcPr>
          <w:p w14:paraId="2FA354BB" w14:textId="53C925F1"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154" w:type="dxa"/>
            <w:tcBorders>
              <w:top w:val="nil"/>
              <w:left w:val="nil"/>
              <w:bottom w:val="single" w:sz="4" w:space="0" w:color="auto"/>
              <w:right w:val="single" w:sz="4" w:space="0" w:color="auto"/>
            </w:tcBorders>
            <w:shd w:val="clear" w:color="000000" w:fill="BDD7EE"/>
            <w:noWrap/>
            <w:vAlign w:val="bottom"/>
          </w:tcPr>
          <w:p w14:paraId="27F65730" w14:textId="28694C7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154" w:type="dxa"/>
            <w:tcBorders>
              <w:top w:val="nil"/>
              <w:left w:val="nil"/>
              <w:bottom w:val="single" w:sz="4" w:space="0" w:color="auto"/>
              <w:right w:val="single" w:sz="4" w:space="0" w:color="auto"/>
            </w:tcBorders>
            <w:shd w:val="clear" w:color="000000" w:fill="BDD7EE"/>
            <w:noWrap/>
            <w:vAlign w:val="bottom"/>
          </w:tcPr>
          <w:p w14:paraId="307B8A54" w14:textId="4E9EF6A4"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7%</w:t>
            </w:r>
          </w:p>
        </w:tc>
        <w:tc>
          <w:tcPr>
            <w:tcW w:w="1266" w:type="dxa"/>
            <w:tcBorders>
              <w:top w:val="nil"/>
              <w:left w:val="nil"/>
              <w:bottom w:val="single" w:sz="4" w:space="0" w:color="auto"/>
              <w:right w:val="single" w:sz="4" w:space="0" w:color="auto"/>
            </w:tcBorders>
            <w:shd w:val="clear" w:color="000000" w:fill="BDD7EE"/>
            <w:noWrap/>
            <w:vAlign w:val="bottom"/>
          </w:tcPr>
          <w:p w14:paraId="0E7693B5" w14:textId="2744EE8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47%</w:t>
            </w:r>
          </w:p>
        </w:tc>
      </w:tr>
      <w:tr w:rsidR="00C9707E" w:rsidRPr="001232F0" w14:paraId="2D48A09F"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4D3175A" w14:textId="77777777" w:rsidR="00C9707E" w:rsidRPr="001232F0" w:rsidRDefault="00C9707E" w:rsidP="0046618F">
            <w:pPr>
              <w:pStyle w:val="TableNumber"/>
              <w:rPr>
                <w:lang w:eastAsia="en-AU"/>
              </w:rPr>
            </w:pPr>
            <w:r w:rsidRPr="001232F0">
              <w:rPr>
                <w:lang w:eastAsia="en-AU"/>
              </w:rPr>
              <w:t>72</w:t>
            </w:r>
          </w:p>
        </w:tc>
        <w:tc>
          <w:tcPr>
            <w:tcW w:w="1043" w:type="dxa"/>
            <w:tcBorders>
              <w:top w:val="nil"/>
              <w:left w:val="single" w:sz="4" w:space="0" w:color="auto"/>
              <w:bottom w:val="single" w:sz="8" w:space="0" w:color="auto"/>
              <w:right w:val="single" w:sz="4" w:space="0" w:color="auto"/>
            </w:tcBorders>
            <w:shd w:val="clear" w:color="000000" w:fill="BDD7EE"/>
            <w:noWrap/>
            <w:vAlign w:val="bottom"/>
          </w:tcPr>
          <w:p w14:paraId="6133D31A" w14:textId="4BAC6DE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043" w:type="dxa"/>
            <w:tcBorders>
              <w:top w:val="nil"/>
              <w:left w:val="nil"/>
              <w:bottom w:val="single" w:sz="8" w:space="0" w:color="auto"/>
              <w:right w:val="single" w:sz="4" w:space="0" w:color="auto"/>
            </w:tcBorders>
            <w:shd w:val="clear" w:color="000000" w:fill="FFFF00"/>
            <w:noWrap/>
            <w:vAlign w:val="bottom"/>
          </w:tcPr>
          <w:p w14:paraId="1C366C95" w14:textId="3271121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66" w:type="dxa"/>
            <w:tcBorders>
              <w:top w:val="nil"/>
              <w:left w:val="nil"/>
              <w:bottom w:val="single" w:sz="8" w:space="0" w:color="auto"/>
              <w:right w:val="single" w:sz="4" w:space="0" w:color="auto"/>
            </w:tcBorders>
            <w:shd w:val="clear" w:color="000000" w:fill="BDD7EE"/>
            <w:noWrap/>
            <w:vAlign w:val="bottom"/>
          </w:tcPr>
          <w:p w14:paraId="6EF04553" w14:textId="7D034CA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w:t>
            </w:r>
          </w:p>
        </w:tc>
        <w:tc>
          <w:tcPr>
            <w:tcW w:w="1154" w:type="dxa"/>
            <w:tcBorders>
              <w:top w:val="nil"/>
              <w:left w:val="nil"/>
              <w:bottom w:val="single" w:sz="8" w:space="0" w:color="auto"/>
              <w:right w:val="single" w:sz="4" w:space="0" w:color="auto"/>
            </w:tcBorders>
            <w:shd w:val="clear" w:color="000000" w:fill="BDD7EE"/>
            <w:noWrap/>
            <w:vAlign w:val="bottom"/>
          </w:tcPr>
          <w:p w14:paraId="12A08002" w14:textId="59E5145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11%</w:t>
            </w:r>
          </w:p>
        </w:tc>
        <w:tc>
          <w:tcPr>
            <w:tcW w:w="1154" w:type="dxa"/>
            <w:tcBorders>
              <w:top w:val="nil"/>
              <w:left w:val="nil"/>
              <w:bottom w:val="single" w:sz="8" w:space="0" w:color="auto"/>
              <w:right w:val="single" w:sz="4" w:space="0" w:color="auto"/>
            </w:tcBorders>
            <w:shd w:val="clear" w:color="000000" w:fill="BDD7EE"/>
            <w:noWrap/>
            <w:vAlign w:val="bottom"/>
          </w:tcPr>
          <w:p w14:paraId="325B9422" w14:textId="5FF9D1C9"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26%</w:t>
            </w:r>
          </w:p>
        </w:tc>
        <w:tc>
          <w:tcPr>
            <w:tcW w:w="1266" w:type="dxa"/>
            <w:tcBorders>
              <w:top w:val="nil"/>
              <w:left w:val="nil"/>
              <w:bottom w:val="single" w:sz="8" w:space="0" w:color="auto"/>
              <w:right w:val="single" w:sz="4" w:space="0" w:color="auto"/>
            </w:tcBorders>
            <w:shd w:val="clear" w:color="000000" w:fill="BDD7EE"/>
            <w:noWrap/>
            <w:vAlign w:val="bottom"/>
          </w:tcPr>
          <w:p w14:paraId="7E4EBA29" w14:textId="15C0E6F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53%</w:t>
            </w:r>
          </w:p>
        </w:tc>
      </w:tr>
    </w:tbl>
    <w:p w14:paraId="43BB2F37" w14:textId="77777777" w:rsidR="007049EB" w:rsidRDefault="007049EB" w:rsidP="0046618F">
      <w:pPr>
        <w:pStyle w:val="TableFootnote"/>
        <w:rPr>
          <w:lang w:eastAsia="en-AU"/>
        </w:rPr>
      </w:pPr>
    </w:p>
    <w:p w14:paraId="0238D886" w14:textId="19A3B0C4" w:rsidR="00A60D51" w:rsidRDefault="00A60D51" w:rsidP="00A60D51">
      <w:pPr>
        <w:pStyle w:val="CaptionTable"/>
        <w:rPr>
          <w:lang w:eastAsia="en-AU"/>
        </w:rPr>
      </w:pPr>
      <w:bookmarkStart w:id="61" w:name="_Toc501111537"/>
      <w:r>
        <w:rPr>
          <w:lang w:eastAsia="en-AU"/>
        </w:rPr>
        <w:t>Increase in number TIs with forecast  LOR1</w:t>
      </w:r>
      <w:r w:rsidR="00B66E16">
        <w:rPr>
          <w:lang w:eastAsia="en-AU"/>
        </w:rPr>
        <w:t xml:space="preserve"> conditions in Vic</w:t>
      </w:r>
      <w:r>
        <w:rPr>
          <w:lang w:eastAsia="en-AU"/>
        </w:rPr>
        <w:t xml:space="preserve"> Region</w:t>
      </w:r>
      <w:r w:rsidR="007049EB">
        <w:rPr>
          <w:lang w:eastAsia="en-AU"/>
        </w:rPr>
        <w:t xml:space="preserve"> (in the six-year period)</w:t>
      </w:r>
      <w:bookmarkEnd w:id="61"/>
    </w:p>
    <w:tbl>
      <w:tblPr>
        <w:tblStyle w:val="PlainTable1"/>
        <w:tblW w:w="8217"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1266"/>
        <w:gridCol w:w="997"/>
        <w:gridCol w:w="1134"/>
        <w:gridCol w:w="1134"/>
        <w:gridCol w:w="1276"/>
        <w:gridCol w:w="1276"/>
        <w:gridCol w:w="1134"/>
      </w:tblGrid>
      <w:tr w:rsidR="00A60D51" w:rsidRPr="00367906" w14:paraId="7BF20D93" w14:textId="77777777" w:rsidTr="0046618F">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66" w:type="dxa"/>
            <w:shd w:val="clear" w:color="auto" w:fill="BFBFBF" w:themeFill="background1" w:themeFillShade="BF"/>
            <w:hideMark/>
          </w:tcPr>
          <w:p w14:paraId="59D73D9B" w14:textId="77777777" w:rsidR="00A60D51" w:rsidRPr="001232F0" w:rsidRDefault="00A60D51" w:rsidP="0046618F">
            <w:pPr>
              <w:pStyle w:val="TableTitle"/>
              <w:rPr>
                <w:lang w:eastAsia="en-AU"/>
              </w:rPr>
            </w:pPr>
            <w:r w:rsidRPr="001232F0">
              <w:rPr>
                <w:lang w:eastAsia="en-AU"/>
              </w:rPr>
              <w:t>Forecasting horizon (hrs)</w:t>
            </w:r>
          </w:p>
        </w:tc>
        <w:tc>
          <w:tcPr>
            <w:tcW w:w="997" w:type="dxa"/>
            <w:shd w:val="clear" w:color="auto" w:fill="BFBFBF" w:themeFill="background1" w:themeFillShade="BF"/>
            <w:hideMark/>
          </w:tcPr>
          <w:p w14:paraId="3163549B"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CI_94</w:t>
            </w:r>
          </w:p>
        </w:tc>
        <w:tc>
          <w:tcPr>
            <w:tcW w:w="1134" w:type="dxa"/>
            <w:shd w:val="clear" w:color="auto" w:fill="BFBFBF" w:themeFill="background1" w:themeFillShade="BF"/>
            <w:hideMark/>
          </w:tcPr>
          <w:p w14:paraId="4AB17B00"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CI_95</w:t>
            </w:r>
          </w:p>
        </w:tc>
        <w:tc>
          <w:tcPr>
            <w:tcW w:w="1134" w:type="dxa"/>
            <w:shd w:val="clear" w:color="auto" w:fill="BFBFBF" w:themeFill="background1" w:themeFillShade="BF"/>
            <w:hideMark/>
          </w:tcPr>
          <w:p w14:paraId="15C88DCA"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FUM with </w:t>
            </w:r>
            <w:r w:rsidRPr="001232F0">
              <w:rPr>
                <w:lang w:eastAsia="en-AU"/>
              </w:rPr>
              <w:t>CI_96</w:t>
            </w:r>
          </w:p>
        </w:tc>
        <w:tc>
          <w:tcPr>
            <w:tcW w:w="1276" w:type="dxa"/>
            <w:shd w:val="clear" w:color="auto" w:fill="BFBFBF" w:themeFill="background1" w:themeFillShade="BF"/>
            <w:hideMark/>
          </w:tcPr>
          <w:p w14:paraId="49F4293E"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7</w:t>
            </w:r>
          </w:p>
        </w:tc>
        <w:tc>
          <w:tcPr>
            <w:tcW w:w="1276" w:type="dxa"/>
            <w:shd w:val="clear" w:color="auto" w:fill="BFBFBF" w:themeFill="background1" w:themeFillShade="BF"/>
            <w:hideMark/>
          </w:tcPr>
          <w:p w14:paraId="36DF0578"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8</w:t>
            </w:r>
          </w:p>
        </w:tc>
        <w:tc>
          <w:tcPr>
            <w:tcW w:w="1134" w:type="dxa"/>
            <w:shd w:val="clear" w:color="auto" w:fill="BFBFBF" w:themeFill="background1" w:themeFillShade="BF"/>
            <w:hideMark/>
          </w:tcPr>
          <w:p w14:paraId="24E18D2F" w14:textId="77777777" w:rsidR="00A60D51" w:rsidRPr="001232F0" w:rsidRDefault="00A60D51" w:rsidP="0046618F">
            <w:pPr>
              <w:pStyle w:val="TableTitle"/>
              <w:cnfStyle w:val="100000000000" w:firstRow="1" w:lastRow="0" w:firstColumn="0" w:lastColumn="0" w:oddVBand="0" w:evenVBand="0" w:oddHBand="0" w:evenHBand="0" w:firstRowFirstColumn="0" w:firstRowLastColumn="0" w:lastRowFirstColumn="0" w:lastRowLastColumn="0"/>
              <w:rPr>
                <w:lang w:eastAsia="en-AU"/>
              </w:rPr>
            </w:pPr>
            <w:r w:rsidRPr="00367906">
              <w:rPr>
                <w:lang w:eastAsia="en-AU"/>
              </w:rPr>
              <w:t xml:space="preserve">FUM with </w:t>
            </w:r>
            <w:r w:rsidRPr="001232F0">
              <w:rPr>
                <w:lang w:eastAsia="en-AU"/>
              </w:rPr>
              <w:t>CI_9</w:t>
            </w:r>
            <w:r>
              <w:rPr>
                <w:lang w:eastAsia="en-AU"/>
              </w:rPr>
              <w:t>9</w:t>
            </w:r>
          </w:p>
        </w:tc>
      </w:tr>
      <w:tr w:rsidR="00C9707E" w:rsidRPr="001232F0" w14:paraId="27CB6BAB"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FFFC7E0" w14:textId="77777777" w:rsidR="00C9707E" w:rsidRPr="001232F0" w:rsidRDefault="00C9707E" w:rsidP="0046618F">
            <w:pPr>
              <w:pStyle w:val="TableNumber"/>
              <w:rPr>
                <w:lang w:eastAsia="en-AU"/>
              </w:rPr>
            </w:pPr>
            <w:r w:rsidRPr="001232F0">
              <w:rPr>
                <w:lang w:eastAsia="en-AU"/>
              </w:rPr>
              <w:t>2</w:t>
            </w:r>
          </w:p>
        </w:tc>
        <w:tc>
          <w:tcPr>
            <w:tcW w:w="997" w:type="dxa"/>
            <w:tcBorders>
              <w:top w:val="single" w:sz="8" w:space="0" w:color="auto"/>
              <w:left w:val="single" w:sz="4" w:space="0" w:color="auto"/>
              <w:bottom w:val="single" w:sz="4" w:space="0" w:color="auto"/>
              <w:right w:val="single" w:sz="4" w:space="0" w:color="auto"/>
            </w:tcBorders>
            <w:shd w:val="clear" w:color="000000" w:fill="BDD7EE"/>
            <w:noWrap/>
            <w:vAlign w:val="bottom"/>
          </w:tcPr>
          <w:p w14:paraId="62A39F6F" w14:textId="78E35D3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3A2854F8" w14:textId="176A544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38507A4C" w14:textId="16107D47"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BDD7EE"/>
            <w:noWrap/>
            <w:vAlign w:val="bottom"/>
          </w:tcPr>
          <w:p w14:paraId="0270850A" w14:textId="2CE4BB29"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single" w:sz="8" w:space="0" w:color="auto"/>
              <w:left w:val="nil"/>
              <w:bottom w:val="single" w:sz="4" w:space="0" w:color="auto"/>
              <w:right w:val="single" w:sz="4" w:space="0" w:color="auto"/>
            </w:tcBorders>
            <w:shd w:val="clear" w:color="000000" w:fill="FFFF00"/>
            <w:noWrap/>
            <w:vAlign w:val="bottom"/>
          </w:tcPr>
          <w:p w14:paraId="31AC726D" w14:textId="63BCCA3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single" w:sz="8" w:space="0" w:color="auto"/>
              <w:left w:val="nil"/>
              <w:bottom w:val="single" w:sz="4" w:space="0" w:color="auto"/>
              <w:right w:val="single" w:sz="4" w:space="0" w:color="auto"/>
            </w:tcBorders>
            <w:shd w:val="clear" w:color="000000" w:fill="BDD7EE"/>
            <w:noWrap/>
            <w:vAlign w:val="bottom"/>
          </w:tcPr>
          <w:p w14:paraId="3FAE965E" w14:textId="1C121210"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r>
      <w:tr w:rsidR="00C9707E" w:rsidRPr="001232F0" w14:paraId="0D1E6C2D"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41EE3897" w14:textId="77777777" w:rsidR="00C9707E" w:rsidRPr="001232F0" w:rsidRDefault="00C9707E" w:rsidP="0046618F">
            <w:pPr>
              <w:pStyle w:val="TableNumber"/>
              <w:rPr>
                <w:lang w:eastAsia="en-AU"/>
              </w:rPr>
            </w:pPr>
            <w:r w:rsidRPr="001232F0">
              <w:rPr>
                <w:lang w:eastAsia="en-AU"/>
              </w:rPr>
              <w:t>6</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6AFDDEE8" w14:textId="7E8D2AF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85D5342" w14:textId="759FEC3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F4FD0E3" w14:textId="2AAEC0BB"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540D59FF" w14:textId="504BE986"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1F427B0F" w14:textId="49576C7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5477A5BF" w14:textId="489D3EC4"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10</w:t>
            </w:r>
          </w:p>
        </w:tc>
      </w:tr>
      <w:tr w:rsidR="00C9707E" w:rsidRPr="001232F0" w14:paraId="48B229D9"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328C161" w14:textId="77777777" w:rsidR="00C9707E" w:rsidRPr="001232F0" w:rsidRDefault="00C9707E" w:rsidP="0046618F">
            <w:pPr>
              <w:pStyle w:val="TableNumber"/>
              <w:rPr>
                <w:lang w:eastAsia="en-AU"/>
              </w:rPr>
            </w:pPr>
            <w:r w:rsidRPr="001232F0">
              <w:rPr>
                <w:lang w:eastAsia="en-AU"/>
              </w:rPr>
              <w:t>9</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2D8F8792" w14:textId="1905C6F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7650C400" w14:textId="75A1CB8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137C3DA5" w14:textId="47991214"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055B058" w14:textId="6EE4129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125AEBCD" w14:textId="3E1B43E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4514C40E" w14:textId="4B51A3CD"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6</w:t>
            </w:r>
          </w:p>
        </w:tc>
      </w:tr>
      <w:tr w:rsidR="00C9707E" w:rsidRPr="001232F0" w14:paraId="68793997"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5FC3EB9" w14:textId="77777777" w:rsidR="00C9707E" w:rsidRPr="001232F0" w:rsidRDefault="00C9707E" w:rsidP="0046618F">
            <w:pPr>
              <w:pStyle w:val="TableNumber"/>
              <w:rPr>
                <w:lang w:eastAsia="en-AU"/>
              </w:rPr>
            </w:pPr>
            <w:r w:rsidRPr="001232F0">
              <w:rPr>
                <w:lang w:eastAsia="en-AU"/>
              </w:rPr>
              <w:t>12</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68FF37B1" w14:textId="75EC4089"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2085E24" w14:textId="2FFDA63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36104094" w14:textId="01EF081D"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288A3BC5" w14:textId="6FBB3052"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FFFF00"/>
            <w:noWrap/>
            <w:vAlign w:val="bottom"/>
          </w:tcPr>
          <w:p w14:paraId="5A23AB6A" w14:textId="6C85065A"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573D9DA" w14:textId="4324ED2F"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5</w:t>
            </w:r>
          </w:p>
        </w:tc>
      </w:tr>
      <w:tr w:rsidR="00C9707E" w:rsidRPr="001232F0" w14:paraId="35544DA0"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DA334F1" w14:textId="77777777" w:rsidR="00C9707E" w:rsidRPr="001232F0" w:rsidRDefault="00C9707E" w:rsidP="0046618F">
            <w:pPr>
              <w:pStyle w:val="TableNumber"/>
              <w:rPr>
                <w:lang w:eastAsia="en-AU"/>
              </w:rPr>
            </w:pPr>
            <w:r w:rsidRPr="001232F0">
              <w:rPr>
                <w:lang w:eastAsia="en-AU"/>
              </w:rPr>
              <w:t>24</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4932C848" w14:textId="350796D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FFFF00"/>
            <w:noWrap/>
            <w:vAlign w:val="bottom"/>
          </w:tcPr>
          <w:p w14:paraId="3C3A5DFB" w14:textId="6CC751AF"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26342846" w14:textId="47BC0298"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39F9C0D9" w14:textId="5E88456C"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276" w:type="dxa"/>
            <w:tcBorders>
              <w:top w:val="nil"/>
              <w:left w:val="nil"/>
              <w:bottom w:val="single" w:sz="4" w:space="0" w:color="auto"/>
              <w:right w:val="single" w:sz="4" w:space="0" w:color="auto"/>
            </w:tcBorders>
            <w:shd w:val="clear" w:color="000000" w:fill="BDD7EE"/>
            <w:noWrap/>
            <w:vAlign w:val="bottom"/>
          </w:tcPr>
          <w:p w14:paraId="3D68203F" w14:textId="1522E295"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w:t>
            </w:r>
          </w:p>
        </w:tc>
        <w:tc>
          <w:tcPr>
            <w:tcW w:w="1134" w:type="dxa"/>
            <w:tcBorders>
              <w:top w:val="nil"/>
              <w:left w:val="nil"/>
              <w:bottom w:val="single" w:sz="4" w:space="0" w:color="auto"/>
              <w:right w:val="single" w:sz="4" w:space="0" w:color="auto"/>
            </w:tcBorders>
            <w:shd w:val="clear" w:color="000000" w:fill="BDD7EE"/>
            <w:noWrap/>
            <w:vAlign w:val="bottom"/>
          </w:tcPr>
          <w:p w14:paraId="5EA9DB70" w14:textId="236C8EBB"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24</w:t>
            </w:r>
          </w:p>
        </w:tc>
      </w:tr>
      <w:tr w:rsidR="00C9707E" w:rsidRPr="001232F0" w14:paraId="496C47E2" w14:textId="77777777" w:rsidTr="00A60D51">
        <w:trPr>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E32C937" w14:textId="77777777" w:rsidR="00C9707E" w:rsidRPr="001232F0" w:rsidRDefault="00C9707E" w:rsidP="0046618F">
            <w:pPr>
              <w:pStyle w:val="TableNumber"/>
              <w:rPr>
                <w:lang w:eastAsia="en-AU"/>
              </w:rPr>
            </w:pPr>
            <w:r w:rsidRPr="001232F0">
              <w:rPr>
                <w:lang w:eastAsia="en-AU"/>
              </w:rPr>
              <w:t>48</w:t>
            </w:r>
          </w:p>
        </w:tc>
        <w:tc>
          <w:tcPr>
            <w:tcW w:w="997" w:type="dxa"/>
            <w:tcBorders>
              <w:top w:val="nil"/>
              <w:left w:val="single" w:sz="4" w:space="0" w:color="auto"/>
              <w:bottom w:val="single" w:sz="4" w:space="0" w:color="auto"/>
              <w:right w:val="single" w:sz="4" w:space="0" w:color="auto"/>
            </w:tcBorders>
            <w:shd w:val="clear" w:color="000000" w:fill="BDD7EE"/>
            <w:noWrap/>
            <w:vAlign w:val="bottom"/>
          </w:tcPr>
          <w:p w14:paraId="7D5E37DD" w14:textId="6C7D74A8"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FFFF00"/>
            <w:noWrap/>
            <w:vAlign w:val="bottom"/>
          </w:tcPr>
          <w:p w14:paraId="22922747" w14:textId="7B2543C8"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0</w:t>
            </w:r>
          </w:p>
        </w:tc>
        <w:tc>
          <w:tcPr>
            <w:tcW w:w="1134" w:type="dxa"/>
            <w:tcBorders>
              <w:top w:val="nil"/>
              <w:left w:val="nil"/>
              <w:bottom w:val="single" w:sz="4" w:space="0" w:color="auto"/>
              <w:right w:val="single" w:sz="4" w:space="0" w:color="auto"/>
            </w:tcBorders>
            <w:shd w:val="clear" w:color="000000" w:fill="BDD7EE"/>
            <w:noWrap/>
            <w:vAlign w:val="bottom"/>
          </w:tcPr>
          <w:p w14:paraId="5BF98A5C" w14:textId="0B639076"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276" w:type="dxa"/>
            <w:tcBorders>
              <w:top w:val="nil"/>
              <w:left w:val="nil"/>
              <w:bottom w:val="single" w:sz="4" w:space="0" w:color="auto"/>
              <w:right w:val="single" w:sz="4" w:space="0" w:color="auto"/>
            </w:tcBorders>
            <w:shd w:val="clear" w:color="000000" w:fill="BDD7EE"/>
            <w:noWrap/>
            <w:vAlign w:val="bottom"/>
          </w:tcPr>
          <w:p w14:paraId="0F3DD4C6" w14:textId="5B0341F1"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276" w:type="dxa"/>
            <w:tcBorders>
              <w:top w:val="nil"/>
              <w:left w:val="nil"/>
              <w:bottom w:val="single" w:sz="4" w:space="0" w:color="auto"/>
              <w:right w:val="single" w:sz="4" w:space="0" w:color="auto"/>
            </w:tcBorders>
            <w:shd w:val="clear" w:color="000000" w:fill="BDD7EE"/>
            <w:noWrap/>
            <w:vAlign w:val="bottom"/>
          </w:tcPr>
          <w:p w14:paraId="5218723E" w14:textId="1BB5F687"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4</w:t>
            </w:r>
          </w:p>
        </w:tc>
        <w:tc>
          <w:tcPr>
            <w:tcW w:w="1134" w:type="dxa"/>
            <w:tcBorders>
              <w:top w:val="nil"/>
              <w:left w:val="nil"/>
              <w:bottom w:val="single" w:sz="4" w:space="0" w:color="auto"/>
              <w:right w:val="single" w:sz="4" w:space="0" w:color="auto"/>
            </w:tcBorders>
            <w:shd w:val="clear" w:color="000000" w:fill="BDD7EE"/>
            <w:noWrap/>
            <w:vAlign w:val="bottom"/>
          </w:tcPr>
          <w:p w14:paraId="0EE384DA" w14:textId="00344A76" w:rsidR="00C9707E" w:rsidRPr="001232F0" w:rsidRDefault="00C9707E" w:rsidP="0046618F">
            <w:pPr>
              <w:pStyle w:val="TableNumber"/>
              <w:cnfStyle w:val="000000000000" w:firstRow="0" w:lastRow="0" w:firstColumn="0" w:lastColumn="0" w:oddVBand="0" w:evenVBand="0" w:oddHBand="0" w:evenHBand="0" w:firstRowFirstColumn="0" w:firstRowLastColumn="0" w:lastRowFirstColumn="0" w:lastRowLastColumn="0"/>
              <w:rPr>
                <w:lang w:eastAsia="en-AU"/>
              </w:rPr>
            </w:pPr>
            <w:r>
              <w:t>28</w:t>
            </w:r>
          </w:p>
        </w:tc>
      </w:tr>
      <w:tr w:rsidR="00C9707E" w:rsidRPr="001232F0" w14:paraId="5E769FB5" w14:textId="77777777" w:rsidTr="00A60D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A0E74C7" w14:textId="77777777" w:rsidR="00C9707E" w:rsidRPr="001232F0" w:rsidRDefault="00C9707E" w:rsidP="0046618F">
            <w:pPr>
              <w:pStyle w:val="TableNumber"/>
              <w:rPr>
                <w:lang w:eastAsia="en-AU"/>
              </w:rPr>
            </w:pPr>
            <w:r w:rsidRPr="001232F0">
              <w:rPr>
                <w:lang w:eastAsia="en-AU"/>
              </w:rPr>
              <w:t>72</w:t>
            </w:r>
          </w:p>
        </w:tc>
        <w:tc>
          <w:tcPr>
            <w:tcW w:w="997" w:type="dxa"/>
            <w:tcBorders>
              <w:top w:val="nil"/>
              <w:left w:val="single" w:sz="4" w:space="0" w:color="auto"/>
              <w:bottom w:val="nil"/>
              <w:right w:val="single" w:sz="4" w:space="0" w:color="auto"/>
            </w:tcBorders>
            <w:shd w:val="clear" w:color="000000" w:fill="BDD7EE"/>
            <w:noWrap/>
            <w:vAlign w:val="bottom"/>
          </w:tcPr>
          <w:p w14:paraId="77A2E1AA" w14:textId="707C9FDB"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nil"/>
              <w:right w:val="single" w:sz="4" w:space="0" w:color="auto"/>
            </w:tcBorders>
            <w:shd w:val="clear" w:color="000000" w:fill="FFFF00"/>
            <w:noWrap/>
            <w:vAlign w:val="bottom"/>
          </w:tcPr>
          <w:p w14:paraId="3EB81BC3" w14:textId="3B36586A"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0</w:t>
            </w:r>
          </w:p>
        </w:tc>
        <w:tc>
          <w:tcPr>
            <w:tcW w:w="1134" w:type="dxa"/>
            <w:tcBorders>
              <w:top w:val="nil"/>
              <w:left w:val="nil"/>
              <w:bottom w:val="nil"/>
              <w:right w:val="single" w:sz="4" w:space="0" w:color="auto"/>
            </w:tcBorders>
            <w:shd w:val="clear" w:color="000000" w:fill="BDD7EE"/>
            <w:noWrap/>
            <w:vAlign w:val="bottom"/>
          </w:tcPr>
          <w:p w14:paraId="380DDBFC" w14:textId="7F03F5C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276" w:type="dxa"/>
            <w:tcBorders>
              <w:top w:val="nil"/>
              <w:left w:val="nil"/>
              <w:bottom w:val="nil"/>
              <w:right w:val="single" w:sz="4" w:space="0" w:color="auto"/>
            </w:tcBorders>
            <w:shd w:val="clear" w:color="000000" w:fill="BDD7EE"/>
            <w:noWrap/>
            <w:vAlign w:val="bottom"/>
          </w:tcPr>
          <w:p w14:paraId="06BD2BB7" w14:textId="26492C4B"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8</w:t>
            </w:r>
          </w:p>
        </w:tc>
        <w:tc>
          <w:tcPr>
            <w:tcW w:w="1276" w:type="dxa"/>
            <w:tcBorders>
              <w:top w:val="nil"/>
              <w:left w:val="nil"/>
              <w:bottom w:val="nil"/>
              <w:right w:val="single" w:sz="4" w:space="0" w:color="auto"/>
            </w:tcBorders>
            <w:shd w:val="clear" w:color="000000" w:fill="BDD7EE"/>
            <w:noWrap/>
            <w:vAlign w:val="bottom"/>
          </w:tcPr>
          <w:p w14:paraId="2242C4CE" w14:textId="698FA532"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20</w:t>
            </w:r>
          </w:p>
        </w:tc>
        <w:tc>
          <w:tcPr>
            <w:tcW w:w="1134" w:type="dxa"/>
            <w:tcBorders>
              <w:top w:val="nil"/>
              <w:left w:val="nil"/>
              <w:bottom w:val="nil"/>
              <w:right w:val="single" w:sz="4" w:space="0" w:color="auto"/>
            </w:tcBorders>
            <w:shd w:val="clear" w:color="000000" w:fill="BDD7EE"/>
            <w:noWrap/>
            <w:vAlign w:val="bottom"/>
          </w:tcPr>
          <w:p w14:paraId="7684C496" w14:textId="038175DA" w:rsidR="00C9707E" w:rsidRPr="001232F0" w:rsidRDefault="00C9707E" w:rsidP="0046618F">
            <w:pPr>
              <w:pStyle w:val="TableNumber"/>
              <w:cnfStyle w:val="000000100000" w:firstRow="0" w:lastRow="0" w:firstColumn="0" w:lastColumn="0" w:oddVBand="0" w:evenVBand="0" w:oddHBand="1" w:evenHBand="0" w:firstRowFirstColumn="0" w:firstRowLastColumn="0" w:lastRowFirstColumn="0" w:lastRowLastColumn="0"/>
              <w:rPr>
                <w:lang w:eastAsia="en-AU"/>
              </w:rPr>
            </w:pPr>
            <w:r>
              <w:t>40</w:t>
            </w:r>
          </w:p>
        </w:tc>
      </w:tr>
    </w:tbl>
    <w:p w14:paraId="07D9CE48" w14:textId="77777777" w:rsidR="00A60D51" w:rsidRDefault="00A60D51" w:rsidP="0046618F">
      <w:pPr>
        <w:pStyle w:val="TableFootnote"/>
        <w:rPr>
          <w:lang w:eastAsia="en-AU"/>
        </w:rPr>
      </w:pPr>
    </w:p>
    <w:p w14:paraId="5A2EAE5C" w14:textId="58DB9291" w:rsidR="00A16A2A" w:rsidRDefault="00A16A2A" w:rsidP="00DF2772">
      <w:pPr>
        <w:pStyle w:val="AppendixHeading1"/>
        <w:rPr>
          <w:lang w:eastAsia="en-AU"/>
        </w:rPr>
      </w:pPr>
      <w:bookmarkStart w:id="62" w:name="_Toc501453680"/>
      <w:bookmarkStart w:id="63" w:name="_Toc501453681"/>
      <w:bookmarkStart w:id="64" w:name="_Toc501453682"/>
      <w:bookmarkStart w:id="65" w:name="_Ref499717611"/>
      <w:bookmarkStart w:id="66" w:name="_Toc501453683"/>
      <w:bookmarkEnd w:id="62"/>
      <w:bookmarkEnd w:id="63"/>
      <w:bookmarkEnd w:id="64"/>
      <w:r>
        <w:rPr>
          <w:lang w:eastAsia="en-AU"/>
        </w:rPr>
        <w:t>Typical Error Distributions</w:t>
      </w:r>
      <w:bookmarkEnd w:id="65"/>
      <w:bookmarkEnd w:id="66"/>
      <w:r>
        <w:rPr>
          <w:lang w:eastAsia="en-AU"/>
        </w:rPr>
        <w:t xml:space="preserve"> </w:t>
      </w:r>
    </w:p>
    <w:p w14:paraId="5E0EF4F9" w14:textId="522F9D17" w:rsidR="003E05A9" w:rsidRDefault="003E05A9" w:rsidP="00B11D62">
      <w:pPr>
        <w:pStyle w:val="BodyText"/>
        <w:rPr>
          <w:lang w:eastAsia="en-AU"/>
        </w:rPr>
      </w:pPr>
      <w:r>
        <w:rPr>
          <w:lang w:eastAsia="en-AU"/>
        </w:rPr>
        <w:t>As detailed in the Guidelines the BBN will initially analyse three types of forecast uncertainties which contribute to the uncertainty of reserve forecasts:</w:t>
      </w:r>
    </w:p>
    <w:p w14:paraId="6405A697" w14:textId="5A363221" w:rsidR="003E05A9" w:rsidRDefault="003E05A9" w:rsidP="0046618F">
      <w:pPr>
        <w:pStyle w:val="BodyText"/>
        <w:numPr>
          <w:ilvl w:val="0"/>
          <w:numId w:val="43"/>
        </w:numPr>
        <w:rPr>
          <w:lang w:eastAsia="en-AU"/>
        </w:rPr>
      </w:pPr>
      <w:r>
        <w:rPr>
          <w:lang w:eastAsia="en-AU"/>
        </w:rPr>
        <w:t>Forecasting of operational demand by AEMO</w:t>
      </w:r>
    </w:p>
    <w:p w14:paraId="5C162FD7" w14:textId="3E9505A4" w:rsidR="003E05A9" w:rsidRDefault="003E05A9" w:rsidP="0046618F">
      <w:pPr>
        <w:pStyle w:val="BodyText"/>
        <w:numPr>
          <w:ilvl w:val="0"/>
          <w:numId w:val="43"/>
        </w:numPr>
        <w:rPr>
          <w:lang w:eastAsia="en-AU"/>
        </w:rPr>
      </w:pPr>
      <w:r>
        <w:rPr>
          <w:lang w:eastAsia="en-AU"/>
        </w:rPr>
        <w:t>Forecasting of output of intermittent generation by AEMO</w:t>
      </w:r>
    </w:p>
    <w:p w14:paraId="6C2E12D2" w14:textId="76062816" w:rsidR="003E05A9" w:rsidRDefault="003E05A9" w:rsidP="0046618F">
      <w:pPr>
        <w:pStyle w:val="BodyText"/>
        <w:numPr>
          <w:ilvl w:val="0"/>
          <w:numId w:val="43"/>
        </w:numPr>
        <w:rPr>
          <w:lang w:eastAsia="en-AU"/>
        </w:rPr>
      </w:pPr>
      <w:r>
        <w:rPr>
          <w:lang w:eastAsia="en-AU"/>
        </w:rPr>
        <w:t>Forecasting of availability of scheduled generating units by Generators.</w:t>
      </w:r>
    </w:p>
    <w:p w14:paraId="399A5434" w14:textId="0975C676" w:rsidR="00CD18C8" w:rsidRDefault="00CD18C8" w:rsidP="003E05A9">
      <w:pPr>
        <w:pStyle w:val="BodyText"/>
        <w:rPr>
          <w:lang w:eastAsia="en-AU"/>
        </w:rPr>
      </w:pPr>
      <w:r>
        <w:rPr>
          <w:lang w:eastAsia="en-AU"/>
        </w:rPr>
        <w:t>The following are graphs showing the error distributions for demand forecasts, intermittent generation forecasts and regional aggregate avail</w:t>
      </w:r>
      <w:r w:rsidR="00490B36">
        <w:rPr>
          <w:lang w:eastAsia="en-AU"/>
        </w:rPr>
        <w:t xml:space="preserve">ability of scheduled generation over the six year period ending </w:t>
      </w:r>
      <w:r w:rsidR="007049EB">
        <w:rPr>
          <w:lang w:eastAsia="en-AU"/>
        </w:rPr>
        <w:br/>
      </w:r>
      <w:r w:rsidR="00356624">
        <w:rPr>
          <w:lang w:eastAsia="en-AU"/>
        </w:rPr>
        <w:t>1 August</w:t>
      </w:r>
      <w:r w:rsidR="00605173">
        <w:rPr>
          <w:lang w:eastAsia="en-AU"/>
        </w:rPr>
        <w:t xml:space="preserve"> 2017 for errors in the range – 800 MW to +800 MW. </w:t>
      </w:r>
      <w:r w:rsidR="003E05A9">
        <w:rPr>
          <w:lang w:eastAsia="en-AU"/>
        </w:rPr>
        <w:t xml:space="preserve">In these graphs a positive sign means that forecast value is greater than the actual value. </w:t>
      </w:r>
    </w:p>
    <w:p w14:paraId="0455140B" w14:textId="305DFC08" w:rsidR="0071383E" w:rsidRDefault="00992DFD">
      <w:pPr>
        <w:pStyle w:val="CaptionFigure"/>
        <w:rPr>
          <w:lang w:eastAsia="en-AU"/>
        </w:rPr>
      </w:pPr>
      <w:r>
        <w:rPr>
          <w:lang w:eastAsia="en-AU"/>
        </w:rPr>
        <w:t xml:space="preserve">Typical error distributions for a range of forecasting horizons </w:t>
      </w:r>
    </w:p>
    <w:p w14:paraId="35CAFDB9" w14:textId="1ACCABAB" w:rsidR="0071383E" w:rsidRDefault="0071383E" w:rsidP="00B11D62">
      <w:pPr>
        <w:pStyle w:val="BodyText"/>
        <w:rPr>
          <w:lang w:eastAsia="en-AU"/>
        </w:rPr>
      </w:pPr>
      <w:r>
        <w:rPr>
          <w:noProof/>
          <w:lang w:eastAsia="en-AU"/>
        </w:rPr>
        <w:drawing>
          <wp:inline distT="0" distB="0" distL="0" distR="0" wp14:anchorId="049F10AB" wp14:editId="6CD3A6BA">
            <wp:extent cx="5831840" cy="2913862"/>
            <wp:effectExtent l="0" t="0" r="0" b="1270"/>
            <wp:docPr id="1" name="Picture 1" descr="C:\Users\mmiller\AppData\Local\Microsoft\Windows\Temporary Internet Files\Content.Word\NS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ller\AppData\Local\Microsoft\Windows\Temporary Internet Files\Content.Word\NSW.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1840" cy="2913862"/>
                    </a:xfrm>
                    <a:prstGeom prst="rect">
                      <a:avLst/>
                    </a:prstGeom>
                    <a:noFill/>
                    <a:ln>
                      <a:noFill/>
                    </a:ln>
                  </pic:spPr>
                </pic:pic>
              </a:graphicData>
            </a:graphic>
          </wp:inline>
        </w:drawing>
      </w:r>
    </w:p>
    <w:p w14:paraId="629FD186" w14:textId="77777777" w:rsidR="00CD18C8" w:rsidRDefault="00CD18C8" w:rsidP="00B11D62">
      <w:pPr>
        <w:pStyle w:val="BodyText"/>
        <w:rPr>
          <w:lang w:eastAsia="en-AU"/>
        </w:rPr>
      </w:pPr>
    </w:p>
    <w:p w14:paraId="0EB00C22" w14:textId="75E80686" w:rsidR="0071383E" w:rsidRDefault="0071383E" w:rsidP="00B11D62">
      <w:pPr>
        <w:pStyle w:val="BodyText"/>
        <w:rPr>
          <w:lang w:eastAsia="en-AU"/>
        </w:rPr>
      </w:pPr>
    </w:p>
    <w:p w14:paraId="2835F90B" w14:textId="2B751B8D" w:rsidR="00CD18C8" w:rsidRDefault="002B6ED0" w:rsidP="00B11D62">
      <w:pPr>
        <w:pStyle w:val="BodyText"/>
        <w:rPr>
          <w:lang w:eastAsia="en-AU"/>
        </w:rPr>
      </w:pPr>
      <w:r w:rsidRPr="002B6ED0">
        <w:rPr>
          <w:noProof/>
          <w:lang w:eastAsia="en-AU"/>
        </w:rPr>
        <w:drawing>
          <wp:inline distT="0" distB="0" distL="0" distR="0" wp14:anchorId="790C19FF" wp14:editId="2D3D4896">
            <wp:extent cx="5831840" cy="2913862"/>
            <wp:effectExtent l="0" t="0" r="0" b="1270"/>
            <wp:docPr id="7" name="Picture 7" descr="C:\Users\mmiller\AppData\Local\Microsoft\Windows\Temporary Internet Files\Content.Outlook\NFDAOTS9\QLD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iller\AppData\Local\Microsoft\Windows\Temporary Internet Files\Content.Outlook\NFDAOTS9\QLD (00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1840" cy="2913862"/>
                    </a:xfrm>
                    <a:prstGeom prst="rect">
                      <a:avLst/>
                    </a:prstGeom>
                    <a:noFill/>
                    <a:ln>
                      <a:noFill/>
                    </a:ln>
                  </pic:spPr>
                </pic:pic>
              </a:graphicData>
            </a:graphic>
          </wp:inline>
        </w:drawing>
      </w:r>
    </w:p>
    <w:p w14:paraId="13DD2E33" w14:textId="3D01BB0E" w:rsidR="0071383E" w:rsidRDefault="0071383E" w:rsidP="00B11D62">
      <w:pPr>
        <w:pStyle w:val="BodyText"/>
        <w:rPr>
          <w:lang w:eastAsia="en-AU"/>
        </w:rPr>
      </w:pPr>
      <w:r>
        <w:rPr>
          <w:noProof/>
          <w:lang w:eastAsia="en-AU"/>
        </w:rPr>
        <w:drawing>
          <wp:inline distT="0" distB="0" distL="0" distR="0" wp14:anchorId="39DD10E2" wp14:editId="3759DC9F">
            <wp:extent cx="5831840" cy="2913862"/>
            <wp:effectExtent l="0" t="0" r="0" b="1270"/>
            <wp:docPr id="3" name="Picture 3" descr="C:\Users\mmiller\AppData\Local\Microsoft\Windows\Temporary Internet Files\Content.Word\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iller\AppData\Local\Microsoft\Windows\Temporary Internet Files\Content.Word\SA.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1840" cy="2913862"/>
                    </a:xfrm>
                    <a:prstGeom prst="rect">
                      <a:avLst/>
                    </a:prstGeom>
                    <a:noFill/>
                    <a:ln>
                      <a:noFill/>
                    </a:ln>
                  </pic:spPr>
                </pic:pic>
              </a:graphicData>
            </a:graphic>
          </wp:inline>
        </w:drawing>
      </w:r>
    </w:p>
    <w:p w14:paraId="0D719615" w14:textId="7C1F0854" w:rsidR="0071383E" w:rsidRDefault="0071383E" w:rsidP="00B11D62">
      <w:pPr>
        <w:pStyle w:val="BodyText"/>
        <w:rPr>
          <w:lang w:eastAsia="en-AU"/>
        </w:rPr>
      </w:pPr>
      <w:r>
        <w:rPr>
          <w:noProof/>
          <w:lang w:eastAsia="en-AU"/>
        </w:rPr>
        <w:drawing>
          <wp:inline distT="0" distB="0" distL="0" distR="0" wp14:anchorId="4F97DD85" wp14:editId="709E3C88">
            <wp:extent cx="5830875" cy="3337560"/>
            <wp:effectExtent l="0" t="0" r="0" b="0"/>
            <wp:docPr id="4" name="Picture 4" descr="C:\Users\mmiller\AppData\Local\Microsoft\Windows\Temporary Internet Files\Content.Word\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iller\AppData\Local\Microsoft\Windows\Temporary Internet Files\Content.Word\TAS.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060" cy="3338811"/>
                    </a:xfrm>
                    <a:prstGeom prst="rect">
                      <a:avLst/>
                    </a:prstGeom>
                    <a:noFill/>
                    <a:ln>
                      <a:noFill/>
                    </a:ln>
                  </pic:spPr>
                </pic:pic>
              </a:graphicData>
            </a:graphic>
          </wp:inline>
        </w:drawing>
      </w:r>
    </w:p>
    <w:p w14:paraId="2533E686" w14:textId="77777777" w:rsidR="0071383E" w:rsidRDefault="0071383E" w:rsidP="00B11D62">
      <w:pPr>
        <w:pStyle w:val="BodyText"/>
        <w:rPr>
          <w:lang w:eastAsia="en-AU"/>
        </w:rPr>
      </w:pPr>
    </w:p>
    <w:p w14:paraId="6E48736A" w14:textId="6A30A51A" w:rsidR="0071383E" w:rsidRDefault="0071383E" w:rsidP="00B11D62">
      <w:pPr>
        <w:pStyle w:val="BodyText"/>
        <w:rPr>
          <w:lang w:eastAsia="en-AU"/>
        </w:rPr>
      </w:pPr>
      <w:r>
        <w:rPr>
          <w:noProof/>
          <w:lang w:eastAsia="en-AU"/>
        </w:rPr>
        <w:drawing>
          <wp:inline distT="0" distB="0" distL="0" distR="0" wp14:anchorId="70A7942C" wp14:editId="3D3EE19E">
            <wp:extent cx="5831840" cy="2913862"/>
            <wp:effectExtent l="0" t="0" r="0" b="1270"/>
            <wp:docPr id="5" name="Picture 5" descr="C:\Users\mmiller\AppData\Local\Microsoft\Windows\Temporary Internet Files\Content.Word\V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iller\AppData\Local\Microsoft\Windows\Temporary Internet Files\Content.Word\VIC.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1840" cy="2913862"/>
                    </a:xfrm>
                    <a:prstGeom prst="rect">
                      <a:avLst/>
                    </a:prstGeom>
                    <a:noFill/>
                    <a:ln>
                      <a:noFill/>
                    </a:ln>
                  </pic:spPr>
                </pic:pic>
              </a:graphicData>
            </a:graphic>
          </wp:inline>
        </w:drawing>
      </w:r>
    </w:p>
    <w:p w14:paraId="56F70DB3" w14:textId="77777777" w:rsidR="00CD18C8" w:rsidRPr="00CD18C8" w:rsidRDefault="00CD18C8" w:rsidP="00B11D62">
      <w:pPr>
        <w:pStyle w:val="BodyText"/>
        <w:rPr>
          <w:lang w:eastAsia="en-AU"/>
        </w:rPr>
      </w:pPr>
    </w:p>
    <w:p w14:paraId="5017DF99" w14:textId="77777777" w:rsidR="004F76AA" w:rsidRDefault="004F76AA" w:rsidP="002244DE">
      <w:pPr>
        <w:pStyle w:val="TableFootnote"/>
      </w:pPr>
    </w:p>
    <w:sectPr w:rsidR="004F76AA" w:rsidSect="001232F0">
      <w:headerReference w:type="default" r:id="rId35"/>
      <w:footerReference w:type="default" r:id="rId36"/>
      <w:pgSz w:w="11906" w:h="16838" w:code="9"/>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2C381" w14:textId="77777777" w:rsidR="00D90D66" w:rsidRDefault="00D90D66" w:rsidP="00710277">
      <w:pPr>
        <w:spacing w:after="0" w:line="240" w:lineRule="auto"/>
      </w:pPr>
      <w:r>
        <w:separator/>
      </w:r>
    </w:p>
  </w:endnote>
  <w:endnote w:type="continuationSeparator" w:id="0">
    <w:p w14:paraId="3D906E5F" w14:textId="77777777" w:rsidR="00D90D66" w:rsidRDefault="00D90D66"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12F51" w14:textId="77777777" w:rsidR="00D90D66" w:rsidRDefault="00D90D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43E25" w14:textId="77777777" w:rsidR="00D90D66" w:rsidRDefault="00D90D66" w:rsidP="00734044">
    <w:pPr>
      <w:pStyle w:val="BodyText"/>
    </w:pPr>
    <w:r>
      <w:rPr>
        <w:noProof/>
        <w:lang w:eastAsia="en-AU"/>
      </w:rPr>
      <w:drawing>
        <wp:anchor distT="0" distB="0" distL="114300" distR="114300" simplePos="0" relativeHeight="251670016" behindDoc="1" locked="0" layoutInCell="1" allowOverlap="1" wp14:anchorId="14724AAE" wp14:editId="7FA7BF3D">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7968" behindDoc="1" locked="0" layoutInCell="1" allowOverlap="1" wp14:anchorId="616072AE" wp14:editId="4C1C703A">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391C" w14:textId="77777777" w:rsidR="00D90D66" w:rsidRDefault="00D90D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51FDA" w14:textId="77777777" w:rsidR="00D90D66" w:rsidRDefault="00D90D66">
    <w:pPr>
      <w:pStyle w:val="Footer"/>
    </w:pPr>
    <w:r>
      <w:rPr>
        <w:noProof/>
        <w:sz w:val="20"/>
        <w:szCs w:val="20"/>
        <w:lang w:eastAsia="en-AU"/>
      </w:rPr>
      <w:drawing>
        <wp:anchor distT="0" distB="0" distL="114300" distR="114300" simplePos="0" relativeHeight="251668992" behindDoc="1" locked="0" layoutInCell="1" allowOverlap="1" wp14:anchorId="5E6CFA76" wp14:editId="15D173E3">
          <wp:simplePos x="0" y="0"/>
          <wp:positionH relativeFrom="page">
            <wp:posOffset>140335</wp:posOffset>
          </wp:positionH>
          <wp:positionV relativeFrom="page">
            <wp:posOffset>9901555</wp:posOffset>
          </wp:positionV>
          <wp:extent cx="7286400" cy="655200"/>
          <wp:effectExtent l="0" t="0" r="0" b="0"/>
          <wp:wrapNone/>
          <wp:docPr id="325"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75682" w14:textId="77777777" w:rsidR="00D90D66" w:rsidRPr="00734044" w:rsidRDefault="00D90D66" w:rsidP="00734044">
    <w:pPr>
      <w:pStyle w:val="Footer"/>
    </w:pPr>
    <w:r w:rsidRPr="00734044">
      <w:t>© AEMO</w:t>
    </w:r>
    <w:r>
      <w:t xml:space="preserve"> </w:t>
    </w:r>
    <w:r w:rsidRPr="009E3B38">
      <w:fldChar w:fldCharType="begin"/>
    </w:r>
    <w:r w:rsidRPr="009E3B38">
      <w:instrText xml:space="preserve"> PRINTDATE  \@ "yyyy" \* MERGEFORMAT </w:instrText>
    </w:r>
    <w:r w:rsidRPr="009E3B38">
      <w:fldChar w:fldCharType="separate"/>
    </w:r>
    <w:r>
      <w:rPr>
        <w:noProof/>
      </w:rPr>
      <w:t>2017</w:t>
    </w:r>
    <w:r w:rsidRPr="009E3B38">
      <w:fldChar w:fldCharType="end"/>
    </w:r>
    <w:r w:rsidRPr="00734044">
      <w:tab/>
    </w:r>
    <w:r w:rsidRPr="00734044">
      <w:tab/>
    </w:r>
    <w:r w:rsidRPr="00734044">
      <w:fldChar w:fldCharType="begin"/>
    </w:r>
    <w:r w:rsidRPr="00734044">
      <w:instrText xml:space="preserve"> PAGE  </w:instrText>
    </w:r>
    <w:r w:rsidRPr="00734044">
      <w:fldChar w:fldCharType="separate"/>
    </w:r>
    <w:r w:rsidR="00892E93">
      <w:rPr>
        <w:noProof/>
      </w:rPr>
      <w:t>2</w:t>
    </w:r>
    <w:r w:rsidRPr="0073404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9DE34" w14:textId="77777777" w:rsidR="00D90D66" w:rsidRDefault="00D90D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25F42" w14:textId="77777777" w:rsidR="00D90D66" w:rsidRPr="00345855" w:rsidRDefault="00D90D66" w:rsidP="00345855">
    <w:pPr>
      <w:pStyle w:val="Footer"/>
    </w:pPr>
    <w:r w:rsidRPr="00345855">
      <w:t>© AEMO</w:t>
    </w:r>
    <w:r>
      <w:t xml:space="preserve"> </w:t>
    </w:r>
    <w:r w:rsidRPr="009E3B38">
      <w:fldChar w:fldCharType="begin"/>
    </w:r>
    <w:r w:rsidRPr="009E3B38">
      <w:instrText xml:space="preserve"> PRINTDATE  \@ "yyyy" \* MERGEFORMAT </w:instrText>
    </w:r>
    <w:r w:rsidRPr="009E3B38">
      <w:fldChar w:fldCharType="separate"/>
    </w:r>
    <w:r>
      <w:rPr>
        <w:noProof/>
      </w:rPr>
      <w:t>2017</w:t>
    </w:r>
    <w:r w:rsidRPr="009E3B38">
      <w:fldChar w:fldCharType="end"/>
    </w:r>
    <w:r w:rsidRPr="00345855">
      <w:tab/>
    </w:r>
    <w:r w:rsidRPr="00345855">
      <w:tab/>
    </w:r>
    <w:r w:rsidRPr="00345855">
      <w:fldChar w:fldCharType="begin"/>
    </w:r>
    <w:r w:rsidRPr="00345855">
      <w:instrText xml:space="preserve"> PAGE  </w:instrText>
    </w:r>
    <w:r w:rsidRPr="00345855">
      <w:fldChar w:fldCharType="separate"/>
    </w:r>
    <w:r w:rsidR="00892E93">
      <w:rPr>
        <w:noProof/>
      </w:rPr>
      <w:t>4</w:t>
    </w:r>
    <w:r w:rsidRPr="00345855">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B22E6" w14:textId="77777777" w:rsidR="00D90D66" w:rsidRPr="00734044" w:rsidRDefault="00D90D66" w:rsidP="00734044">
    <w:pPr>
      <w:pStyle w:val="Footer"/>
    </w:pPr>
    <w:r w:rsidRPr="00734044">
      <w:t>© AEMO</w:t>
    </w:r>
    <w:r>
      <w:t xml:space="preserve"> </w:t>
    </w:r>
    <w:r w:rsidRPr="009E3B38">
      <w:fldChar w:fldCharType="begin"/>
    </w:r>
    <w:r w:rsidRPr="009E3B38">
      <w:instrText xml:space="preserve"> PRINTDATE  \@ "yyyy" \* MERGEFORMAT </w:instrText>
    </w:r>
    <w:r w:rsidRPr="009E3B38">
      <w:fldChar w:fldCharType="separate"/>
    </w:r>
    <w:r>
      <w:rPr>
        <w:noProof/>
      </w:rPr>
      <w:t>2017</w:t>
    </w:r>
    <w:r w:rsidRPr="009E3B38">
      <w:fldChar w:fldCharType="end"/>
    </w:r>
    <w:r w:rsidRPr="00734044">
      <w:tab/>
    </w:r>
    <w:r w:rsidRPr="00734044">
      <w:tab/>
    </w:r>
    <w:r w:rsidRPr="00734044">
      <w:fldChar w:fldCharType="begin"/>
    </w:r>
    <w:r w:rsidRPr="00734044">
      <w:instrText xml:space="preserve"> PAGE  </w:instrText>
    </w:r>
    <w:r w:rsidRPr="00734044">
      <w:fldChar w:fldCharType="separate"/>
    </w:r>
    <w:r w:rsidR="00892E93">
      <w:rPr>
        <w:noProof/>
      </w:rPr>
      <w:t>10</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C3715" w14:textId="77777777" w:rsidR="00D90D66" w:rsidRPr="005032D6" w:rsidRDefault="00D90D66" w:rsidP="00710277">
      <w:pPr>
        <w:spacing w:after="0" w:line="240" w:lineRule="auto"/>
      </w:pPr>
      <w:r w:rsidRPr="005032D6">
        <w:separator/>
      </w:r>
    </w:p>
  </w:footnote>
  <w:footnote w:type="continuationSeparator" w:id="0">
    <w:p w14:paraId="54AEF005" w14:textId="77777777" w:rsidR="00D90D66" w:rsidRDefault="00D90D66" w:rsidP="00710277">
      <w:pPr>
        <w:spacing w:after="0" w:line="240" w:lineRule="auto"/>
      </w:pPr>
      <w:r>
        <w:continuationSeparator/>
      </w:r>
    </w:p>
  </w:footnote>
  <w:footnote w:id="1">
    <w:p w14:paraId="76AB65E2" w14:textId="3B620D3D" w:rsidR="00D90D66" w:rsidRPr="009A0998" w:rsidRDefault="00D90D66">
      <w:pPr>
        <w:pStyle w:val="FootnoteText"/>
      </w:pPr>
      <w:r>
        <w:rPr>
          <w:rStyle w:val="FootnoteReference"/>
        </w:rPr>
        <w:footnoteRef/>
      </w:r>
      <w:r>
        <w:t xml:space="preserve"> Clause 4.8.4(e) inserted by the </w:t>
      </w:r>
      <w:r w:rsidRPr="009A0998">
        <w:rPr>
          <w:i/>
        </w:rPr>
        <w:t>National Electricity Amendment (Declaration of lack of reserve conditions) Rule 2017</w:t>
      </w:r>
      <w:r>
        <w:t xml:space="preserve">, effective </w:t>
      </w:r>
      <w:r w:rsidRPr="004323EB">
        <w:t>16 January 2018.</w:t>
      </w:r>
    </w:p>
  </w:footnote>
  <w:footnote w:id="2">
    <w:p w14:paraId="49ED0DA3" w14:textId="3BA2A35E" w:rsidR="00D90D66" w:rsidRDefault="00D90D66">
      <w:pPr>
        <w:pStyle w:val="FootnoteText"/>
      </w:pPr>
      <w:r>
        <w:rPr>
          <w:rStyle w:val="FootnoteReference"/>
        </w:rPr>
        <w:footnoteRef/>
      </w:r>
      <w:r>
        <w:t xml:space="preserve"> Closing date for submissions was extended from 14 November to 20 November 2017.</w:t>
      </w:r>
    </w:p>
  </w:footnote>
  <w:footnote w:id="3">
    <w:p w14:paraId="3892A64E" w14:textId="171C7EC1" w:rsidR="00D90D66" w:rsidRDefault="00D90D66">
      <w:pPr>
        <w:pStyle w:val="FootnoteText"/>
      </w:pPr>
      <w:r>
        <w:rPr>
          <w:rStyle w:val="FootnoteReference"/>
        </w:rPr>
        <w:footnoteRef/>
      </w:r>
      <w:r>
        <w:t xml:space="preserve"> At this stage AEMO intends to commence the first review in April 2018, and will consider a second review before summer 2018–19.</w:t>
      </w:r>
    </w:p>
  </w:footnote>
  <w:footnote w:id="4">
    <w:p w14:paraId="2D13DBEF" w14:textId="7279666C" w:rsidR="00D90D66" w:rsidRDefault="00D90D66">
      <w:pPr>
        <w:pStyle w:val="FootnoteText"/>
      </w:pPr>
      <w:r>
        <w:rPr>
          <w:rStyle w:val="FootnoteReference"/>
        </w:rPr>
        <w:footnoteRef/>
      </w:r>
      <w:r>
        <w:t xml:space="preserve"> Such as an unusual combination of generating unit and network outages.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777F6" w14:textId="77777777" w:rsidR="00D90D66" w:rsidRDefault="00D90D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0E548" w14:textId="1F8630C2" w:rsidR="00D90D66" w:rsidRDefault="00D90D66" w:rsidP="00BD6C4C">
    <w:pPr>
      <w:pStyle w:val="Header"/>
    </w:pPr>
    <w:r>
      <w:drawing>
        <wp:anchor distT="0" distB="0" distL="114300" distR="114300" simplePos="0" relativeHeight="251665920" behindDoc="1" locked="0" layoutInCell="1" allowOverlap="1" wp14:anchorId="1692AEF4" wp14:editId="144E7F11">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D90D66" w14:paraId="19B3BB54" w14:textId="77777777" w:rsidTr="005032D6">
      <w:trPr>
        <w:trHeight w:hRule="exact" w:val="4961"/>
      </w:trPr>
      <w:tc>
        <w:tcPr>
          <w:tcW w:w="9400" w:type="dxa"/>
        </w:tcPr>
        <w:p w14:paraId="7278A736" w14:textId="77777777" w:rsidR="00D90D66" w:rsidRDefault="00D90D66" w:rsidP="00BD6C4C">
          <w:pPr>
            <w:pStyle w:val="Header"/>
          </w:pPr>
        </w:p>
      </w:tc>
    </w:tr>
  </w:tbl>
  <w:p w14:paraId="1F2650F9" w14:textId="77777777" w:rsidR="00D90D66" w:rsidRPr="00D34E41" w:rsidRDefault="00D90D66" w:rsidP="00BD6C4C">
    <w:pPr>
      <w:pStyle w:val="Header"/>
    </w:pPr>
    <w:r w:rsidRPr="003F7E5C">
      <mc:AlternateContent>
        <mc:Choice Requires="wps">
          <w:drawing>
            <wp:anchor distT="0" distB="0" distL="114300" distR="114300" simplePos="0" relativeHeight="251664896" behindDoc="1" locked="1" layoutInCell="1" allowOverlap="1" wp14:anchorId="226D5A09" wp14:editId="5823E136">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DF823" id="Rectangle 10" o:spid="_x0000_s1026" style="position:absolute;margin-left:0;margin-top:243.85pt;width:595.3pt;height:13.9pt;z-index:-2516515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62848" behindDoc="0" locked="0" layoutInCell="1" allowOverlap="1" wp14:anchorId="7383BB91" wp14:editId="1FBF998C">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709BD" id="Rectangle 317" o:spid="_x0000_s1026" style="position:absolute;margin-left:0;margin-top:258pt;width:595.3pt;height:36.55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32A7B" w14:textId="77777777" w:rsidR="00D90D66" w:rsidRDefault="00D90D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8E853" w14:textId="77777777" w:rsidR="00D90D66" w:rsidRDefault="00D90D66" w:rsidP="00BD6C4C">
    <w:pPr>
      <w:pStyle w:val="Header"/>
    </w:pPr>
    <w:r>
      <w:drawing>
        <wp:anchor distT="0" distB="0" distL="114300" distR="114300" simplePos="0" relativeHeight="251649536" behindDoc="0" locked="0" layoutInCell="1" allowOverlap="1" wp14:anchorId="6D7F7AFB" wp14:editId="4E9DD9CE">
          <wp:simplePos x="0" y="0"/>
          <wp:positionH relativeFrom="column">
            <wp:posOffset>-302895</wp:posOffset>
          </wp:positionH>
          <wp:positionV relativeFrom="paragraph">
            <wp:posOffset>-30480</wp:posOffset>
          </wp:positionV>
          <wp:extent cx="213862" cy="213995"/>
          <wp:effectExtent l="0" t="0" r="0" b="0"/>
          <wp:wrapNone/>
          <wp:docPr id="333"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18B99FF6" wp14:editId="243A57F7">
          <wp:simplePos x="0" y="0"/>
          <wp:positionH relativeFrom="column">
            <wp:posOffset>-301704</wp:posOffset>
          </wp:positionH>
          <wp:positionV relativeFrom="paragraph">
            <wp:posOffset>-29845</wp:posOffset>
          </wp:positionV>
          <wp:extent cx="213862" cy="213995"/>
          <wp:effectExtent l="0" t="0" r="0" b="0"/>
          <wp:wrapNone/>
          <wp:docPr id="334"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6D4D7006" wp14:editId="4ECF9974">
              <wp:simplePos x="0" y="0"/>
              <wp:positionH relativeFrom="column">
                <wp:posOffset>-565471</wp:posOffset>
              </wp:positionH>
              <wp:positionV relativeFrom="paragraph">
                <wp:posOffset>-34120</wp:posOffset>
              </wp:positionV>
              <wp:extent cx="476546" cy="213995"/>
              <wp:effectExtent l="0" t="0" r="0" b="0"/>
              <wp:wrapNone/>
              <wp:docPr id="330"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31"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32"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76B49D1" id="BothIcons" o:spid="_x0000_s1026" style="position:absolute;margin-left:-44.55pt;margin-top:-2.7pt;width:37.5pt;height:16.85pt;z-index:251648512"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ovPDAAAA3AAAAA8AAABkcnMvZG93bnJldi54bWxEj0+LwjAUxO/CfofwFrxpWgVXusayLAiC&#10;eLAr7PXRvP7R5qU0qa3f3giCx2FmfsNs0tE04kadqy0riOcRCOLc6ppLBee/3WwNwnlkjY1lUnAn&#10;B+n2Y7LBRNuBT3TLfCkChF2CCirv20RKl1dk0M1tSxy8wnYGfZBdKXWHQ4CbRi6iaCUN1hwWKmzp&#10;t6L8mvVGwVo2/VAeL0XR/y+O46o/ZJa+lJp+jj/fIDyN/h1+tfdawXIZw/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ii8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govGAAAA3AAAAA8AAABkcnMvZG93bnJldi54bWxEj0FrAjEUhO8F/0N4greaVVuR1ShWsBQP&#10;RVfB62Pz3F3dvGyTVNd/bwpCj8PMfMPMFq2pxZWcrywrGPQTEMS51RUXCg779esEhA/IGmvLpOBO&#10;HhbzzssMU21vvKNrFgoRIexTVFCG0KRS+rwkg75vG+LonawzGKJ0hdQObxFuajlMkrE0WHFcKLGh&#10;VUn5Jfs1Co65q0/H94/N2/b8uc6+t4ef/f2iVK/bLqcgArXhP/xsf2kFo9EQ/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SCi8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1584" behindDoc="1" locked="0" layoutInCell="1" allowOverlap="1" wp14:anchorId="0D3ED9F9" wp14:editId="3F3CEF56">
          <wp:simplePos x="0" y="0"/>
          <wp:positionH relativeFrom="page">
            <wp:posOffset>0</wp:posOffset>
          </wp:positionH>
          <wp:positionV relativeFrom="page">
            <wp:posOffset>0</wp:posOffset>
          </wp:positionV>
          <wp:extent cx="7570800" cy="925200"/>
          <wp:effectExtent l="0" t="0" r="0" b="8255"/>
          <wp:wrapNone/>
          <wp:docPr id="335" name="Picture 335"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E93">
      <w:fldChar w:fldCharType="begin"/>
    </w:r>
    <w:r w:rsidR="00892E93">
      <w:instrText xml:space="preserve"> STYLEREF  Title  \* MERGEFORMAT </w:instrText>
    </w:r>
    <w:r w:rsidR="00892E93">
      <w:fldChar w:fldCharType="separate"/>
    </w:r>
    <w:r>
      <w:t>Initial Version of reserve level Declaration Guidelines</w:t>
    </w:r>
    <w:r w:rsidR="00892E9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A0BE" w14:textId="77777777" w:rsidR="00D90D66" w:rsidRDefault="00D90D66" w:rsidP="00BD6C4C">
    <w:pPr>
      <w:pStyle w:val="Header"/>
    </w:pPr>
    <w:r>
      <w:drawing>
        <wp:anchor distT="0" distB="0" distL="114300" distR="114300" simplePos="0" relativeHeight="251653632" behindDoc="0" locked="0" layoutInCell="1" allowOverlap="1" wp14:anchorId="1FB693D4" wp14:editId="3A5200D6">
          <wp:simplePos x="0" y="0"/>
          <wp:positionH relativeFrom="column">
            <wp:posOffset>-302895</wp:posOffset>
          </wp:positionH>
          <wp:positionV relativeFrom="paragraph">
            <wp:posOffset>-30480</wp:posOffset>
          </wp:positionV>
          <wp:extent cx="213862" cy="213995"/>
          <wp:effectExtent l="0" t="0" r="0" b="0"/>
          <wp:wrapNone/>
          <wp:docPr id="46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4656" behindDoc="0" locked="0" layoutInCell="1" allowOverlap="1" wp14:anchorId="76F6DCE4" wp14:editId="77851E25">
          <wp:simplePos x="0" y="0"/>
          <wp:positionH relativeFrom="column">
            <wp:posOffset>-301704</wp:posOffset>
          </wp:positionH>
          <wp:positionV relativeFrom="paragraph">
            <wp:posOffset>-29845</wp:posOffset>
          </wp:positionV>
          <wp:extent cx="213862" cy="213995"/>
          <wp:effectExtent l="0" t="0" r="0" b="0"/>
          <wp:wrapNone/>
          <wp:docPr id="469"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2608" behindDoc="0" locked="0" layoutInCell="1" allowOverlap="1" wp14:anchorId="48E27371" wp14:editId="32739596">
              <wp:simplePos x="0" y="0"/>
              <wp:positionH relativeFrom="column">
                <wp:posOffset>-565471</wp:posOffset>
              </wp:positionH>
              <wp:positionV relativeFrom="paragraph">
                <wp:posOffset>-34120</wp:posOffset>
              </wp:positionV>
              <wp:extent cx="476546" cy="213995"/>
              <wp:effectExtent l="0" t="0" r="0" b="0"/>
              <wp:wrapNone/>
              <wp:docPr id="465"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6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6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05B9DDC0" id="BothIcons" o:spid="_x0000_s1026" style="position:absolute;margin-left:-44.55pt;margin-top:-2.7pt;width:37.5pt;height:16.85pt;z-index:251652608;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CtLPXH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2P/DAAAA3AAAAA8AAABkcnMvZG93bnJldi54bWxEj0+LwjAUxO+C3yE8YW82XVmqVKMsCwuC&#10;eLAKXh/N6x9tXkqT2u633wiCx2FmfsNsdqNpxIM6V1tW8BnFIIhzq2suFVzOv/MVCOeRNTaWScEf&#10;Odhtp5MNptoOfKJH5ksRIOxSVFB536ZSurwigy6yLXHwCtsZ9EF2pdQdDgFuGrmI40QarDksVNjS&#10;T0X5PeuNgpVs+qE83oqivy6OY9IfMktLpT5m4/cahKfRv8Ov9l4r+EoSeJ4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jY/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w2vGAAAA3AAAAA8AAABkcnMvZG93bnJldi54bWxEj09rAjEUxO8Fv0N4Qm81q6gt242iBUvx&#10;UHQVvD42b//Uzcs2SXX99k1B6HGYmd8w2bI3rbiQ841lBeNRAoK4sLrhSsHxsHl6AeEDssbWMim4&#10;kYflYvCQYartlfd0yUMlIoR9igrqELpUSl/UZNCPbEccvdI6gyFKV0nt8BrhppWTJJlLgw3HhRo7&#10;equpOOc/RsGpcG15mq23093X+yb/3B2/D7ezUo/DfvUKIlAf/sP39odWMJ0/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rDa8YAAADcAAAADwAAAAAAAAAAAAAA&#10;AACfAgAAZHJzL2Rvd25yZXYueG1sUEsFBgAAAAAEAAQA9wAAAJIDAAAAAA==&#10;">
                <v:imagedata r:id="rId4" o:title=""/>
                <v:path arrowok="t"/>
              </v:shape>
            </v:group>
          </w:pict>
        </mc:Fallback>
      </mc:AlternateContent>
    </w:r>
    <w:r w:rsidR="00892E93">
      <w:fldChar w:fldCharType="begin"/>
    </w:r>
    <w:r w:rsidR="00892E93">
      <w:instrText xml:space="preserve"> STYLEREF  Title  \* MERGEFORMAT </w:instrText>
    </w:r>
    <w:r w:rsidR="00892E93">
      <w:fldChar w:fldCharType="separate"/>
    </w:r>
    <w:r w:rsidR="00892E93">
      <w:t>Initial Version of reserve level Declaration Guidelines</w:t>
    </w:r>
    <w:r w:rsidR="00892E93">
      <w:fldChar w:fldCharType="end"/>
    </w:r>
    <w:r w:rsidRPr="008760A9">
      <w:drawing>
        <wp:anchor distT="0" distB="0" distL="114300" distR="114300" simplePos="0" relativeHeight="251655680" behindDoc="1" locked="1" layoutInCell="1" allowOverlap="1" wp14:anchorId="173E65AD" wp14:editId="4FCF4A94">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70"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AE3E3" w14:textId="77777777" w:rsidR="00D90D66" w:rsidRPr="00710277" w:rsidRDefault="00D90D66" w:rsidP="00BD6C4C">
    <w:pPr>
      <w:pStyle w:val="Header"/>
    </w:pPr>
    <w:r>
      <w:drawing>
        <wp:anchor distT="0" distB="0" distL="114300" distR="114300" simplePos="0" relativeHeight="251645440" behindDoc="0" locked="0" layoutInCell="1" allowOverlap="1" wp14:anchorId="1F5777F9" wp14:editId="79A2613F">
          <wp:simplePos x="0" y="0"/>
          <wp:positionH relativeFrom="column">
            <wp:posOffset>-302895</wp:posOffset>
          </wp:positionH>
          <wp:positionV relativeFrom="paragraph">
            <wp:posOffset>-30480</wp:posOffset>
          </wp:positionV>
          <wp:extent cx="213862" cy="213995"/>
          <wp:effectExtent l="0" t="0" r="0" b="0"/>
          <wp:wrapNone/>
          <wp:docPr id="436"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46464" behindDoc="0" locked="0" layoutInCell="1" allowOverlap="1" wp14:anchorId="6579AD43" wp14:editId="07F8DB74">
          <wp:simplePos x="0" y="0"/>
          <wp:positionH relativeFrom="column">
            <wp:posOffset>-301704</wp:posOffset>
          </wp:positionH>
          <wp:positionV relativeFrom="paragraph">
            <wp:posOffset>-29845</wp:posOffset>
          </wp:positionV>
          <wp:extent cx="213862" cy="213995"/>
          <wp:effectExtent l="0" t="0" r="0" b="0"/>
          <wp:wrapNone/>
          <wp:docPr id="43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4416" behindDoc="0" locked="0" layoutInCell="1" allowOverlap="1" wp14:anchorId="7107AB22" wp14:editId="4E3D27D2">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9B4C6BD" id="BothIcons" o:spid="_x0000_s1026" style="position:absolute;margin-left:-44.55pt;margin-top:-2.7pt;width:37.5pt;height:16.85pt;z-index:251644416"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47488" behindDoc="1" locked="0" layoutInCell="1" allowOverlap="1" wp14:anchorId="1B2D6F7E" wp14:editId="391B0433">
          <wp:simplePos x="0" y="0"/>
          <wp:positionH relativeFrom="page">
            <wp:posOffset>0</wp:posOffset>
          </wp:positionH>
          <wp:positionV relativeFrom="page">
            <wp:posOffset>0</wp:posOffset>
          </wp:positionV>
          <wp:extent cx="7570800" cy="925200"/>
          <wp:effectExtent l="0" t="0" r="0" b="8255"/>
          <wp:wrapNone/>
          <wp:docPr id="438" name="Picture 438"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E93">
      <w:fldChar w:fldCharType="begin"/>
    </w:r>
    <w:r w:rsidR="00892E93">
      <w:instrText xml:space="preserve"> STYLEREF  Title  \* MERGEFORMAT </w:instrText>
    </w:r>
    <w:r w:rsidR="00892E93">
      <w:fldChar w:fldCharType="separate"/>
    </w:r>
    <w:r>
      <w:t>Initial Version of reserve level Declaration Guidelines</w:t>
    </w:r>
    <w:r w:rsidR="00892E9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33245" w14:textId="77777777" w:rsidR="00D90D66" w:rsidRPr="005032D6" w:rsidRDefault="00D90D66" w:rsidP="00BD6C4C">
    <w:pPr>
      <w:pStyle w:val="Header"/>
    </w:pPr>
    <w:r>
      <w:drawing>
        <wp:anchor distT="0" distB="0" distL="114300" distR="114300" simplePos="0" relativeHeight="251657728" behindDoc="0" locked="0" layoutInCell="1" allowOverlap="1" wp14:anchorId="5C7CE0AF" wp14:editId="3DC47057">
          <wp:simplePos x="0" y="0"/>
          <wp:positionH relativeFrom="column">
            <wp:posOffset>-302895</wp:posOffset>
          </wp:positionH>
          <wp:positionV relativeFrom="paragraph">
            <wp:posOffset>-30480</wp:posOffset>
          </wp:positionV>
          <wp:extent cx="213862" cy="213995"/>
          <wp:effectExtent l="0" t="0" r="0" b="0"/>
          <wp:wrapNone/>
          <wp:docPr id="47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8752" behindDoc="0" locked="0" layoutInCell="1" allowOverlap="1" wp14:anchorId="3416A07C" wp14:editId="63177795">
          <wp:simplePos x="0" y="0"/>
          <wp:positionH relativeFrom="column">
            <wp:posOffset>-301704</wp:posOffset>
          </wp:positionH>
          <wp:positionV relativeFrom="paragraph">
            <wp:posOffset>-29845</wp:posOffset>
          </wp:positionV>
          <wp:extent cx="213862" cy="213995"/>
          <wp:effectExtent l="0" t="0" r="0" b="0"/>
          <wp:wrapNone/>
          <wp:docPr id="478"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1653745C" wp14:editId="1AA3B01C">
              <wp:simplePos x="0" y="0"/>
              <wp:positionH relativeFrom="column">
                <wp:posOffset>-565471</wp:posOffset>
              </wp:positionH>
              <wp:positionV relativeFrom="paragraph">
                <wp:posOffset>-34120</wp:posOffset>
              </wp:positionV>
              <wp:extent cx="476546" cy="213995"/>
              <wp:effectExtent l="0" t="0" r="0" b="0"/>
              <wp:wrapNone/>
              <wp:docPr id="47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BCD8932"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892E93">
      <w:fldChar w:fldCharType="begin"/>
    </w:r>
    <w:r w:rsidR="00892E93">
      <w:instrText xml:space="preserve"> STYLEREF  Title  \* MERGEFORMAT </w:instrText>
    </w:r>
    <w:r w:rsidR="00892E93">
      <w:fldChar w:fldCharType="separate"/>
    </w:r>
    <w:r w:rsidR="00892E93">
      <w:t>Initial Version of reserve level Declaration Guidelines</w:t>
    </w:r>
    <w:r w:rsidR="00892E93">
      <w:fldChar w:fldCharType="end"/>
    </w:r>
    <w:r w:rsidRPr="008760A9">
      <w:drawing>
        <wp:anchor distT="0" distB="0" distL="114300" distR="114300" simplePos="0" relativeHeight="251659776" behindDoc="1" locked="1" layoutInCell="1" allowOverlap="1" wp14:anchorId="14A7EEFA" wp14:editId="0987A745">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7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2C606" w14:textId="2563CDBD" w:rsidR="00D90D66" w:rsidRPr="005032D6" w:rsidRDefault="00892E93" w:rsidP="00BD6C4C">
    <w:pPr>
      <w:pStyle w:val="Header"/>
    </w:pPr>
    <w:sdt>
      <w:sdtPr>
        <w:id w:val="28384409"/>
        <w:docPartObj>
          <w:docPartGallery w:val="Watermarks"/>
          <w:docPartUnique/>
        </w:docPartObj>
      </w:sdtPr>
      <w:sdtEndPr/>
      <w:sdtContent>
        <w:r>
          <w:rPr>
            <w:lang w:val="en-US" w:eastAsia="en-US"/>
          </w:rPr>
          <w:pict w14:anchorId="4556F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45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0D66">
      <w:drawing>
        <wp:anchor distT="0" distB="0" distL="114300" distR="114300" simplePos="0" relativeHeight="251661824" behindDoc="0" locked="0" layoutInCell="1" allowOverlap="1" wp14:anchorId="3428A941" wp14:editId="16F1FC61">
          <wp:simplePos x="0" y="0"/>
          <wp:positionH relativeFrom="column">
            <wp:posOffset>-302895</wp:posOffset>
          </wp:positionH>
          <wp:positionV relativeFrom="paragraph">
            <wp:posOffset>-30480</wp:posOffset>
          </wp:positionV>
          <wp:extent cx="213862" cy="213995"/>
          <wp:effectExtent l="0" t="0" r="0" b="0"/>
          <wp:wrapNone/>
          <wp:docPr id="29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00D90D66">
      <w:drawing>
        <wp:anchor distT="0" distB="0" distL="114300" distR="114300" simplePos="0" relativeHeight="251663872" behindDoc="0" locked="0" layoutInCell="1" allowOverlap="1" wp14:anchorId="5C6BDFF1" wp14:editId="317AFE10">
          <wp:simplePos x="0" y="0"/>
          <wp:positionH relativeFrom="column">
            <wp:posOffset>-301704</wp:posOffset>
          </wp:positionH>
          <wp:positionV relativeFrom="paragraph">
            <wp:posOffset>-29845</wp:posOffset>
          </wp:positionV>
          <wp:extent cx="213862" cy="213995"/>
          <wp:effectExtent l="0" t="0" r="0" b="0"/>
          <wp:wrapNone/>
          <wp:docPr id="292"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00D90D66">
      <w:rPr>
        <w:position w:val="-10"/>
      </w:rPr>
      <mc:AlternateContent>
        <mc:Choice Requires="wpg">
          <w:drawing>
            <wp:anchor distT="0" distB="0" distL="114300" distR="114300" simplePos="0" relativeHeight="251660800" behindDoc="0" locked="0" layoutInCell="1" allowOverlap="1" wp14:anchorId="567179A9" wp14:editId="5A553E08">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324872D" id="BothIcons" o:spid="_x0000_s1026" style="position:absolute;margin-left:-44.55pt;margin-top:-2.7pt;width:37.5pt;height:16.85pt;z-index:251660800;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fldChar w:fldCharType="begin"/>
    </w:r>
    <w:r>
      <w:instrText xml:space="preserve"> STYLEREF  Title  \* MERGEFORMAT </w:instrText>
    </w:r>
    <w:r>
      <w:fldChar w:fldCharType="separate"/>
    </w:r>
    <w:r>
      <w:t>Initial Version of reserve level Declaration Guidelines</w:t>
    </w:r>
    <w:r>
      <w:fldChar w:fldCharType="end"/>
    </w:r>
    <w:r w:rsidR="00D90D66" w:rsidRPr="008760A9">
      <w:drawing>
        <wp:anchor distT="0" distB="0" distL="114300" distR="114300" simplePos="0" relativeHeight="251666944" behindDoc="1" locked="1" layoutInCell="1" allowOverlap="1" wp14:anchorId="1339997E" wp14:editId="23C22F6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B340F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D1DEA"/>
    <w:multiLevelType w:val="hybridMultilevel"/>
    <w:tmpl w:val="AF12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537CD"/>
    <w:multiLevelType w:val="hybridMultilevel"/>
    <w:tmpl w:val="D64E0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4"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7D318B"/>
    <w:multiLevelType w:val="hybridMultilevel"/>
    <w:tmpl w:val="3CDAF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77C4B70"/>
    <w:multiLevelType w:val="multilevel"/>
    <w:tmpl w:val="EBFA64DE"/>
    <w:lvl w:ilvl="0">
      <w:start w:val="1"/>
      <w:numFmt w:val="upperLetter"/>
      <w:pStyle w:val="AppendixHeading1"/>
      <w:lvlText w:val="Appendix %1."/>
      <w:lvlJc w:val="left"/>
      <w:pPr>
        <w:tabs>
          <w:tab w:val="num" w:pos="3118"/>
        </w:tabs>
        <w:ind w:left="992"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7" w15:restartNumberingAfterBreak="0">
    <w:nsid w:val="07B83BA5"/>
    <w:multiLevelType w:val="hybridMultilevel"/>
    <w:tmpl w:val="C7A47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53D3D"/>
    <w:multiLevelType w:val="hybridMultilevel"/>
    <w:tmpl w:val="E4366F5E"/>
    <w:lvl w:ilvl="0" w:tplc="7C88E0A0">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9" w15:restartNumberingAfterBreak="0">
    <w:nsid w:val="0DE110F9"/>
    <w:multiLevelType w:val="hybridMultilevel"/>
    <w:tmpl w:val="99C6AB9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1326F65"/>
    <w:multiLevelType w:val="hybridMultilevel"/>
    <w:tmpl w:val="B0460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2" w15:restartNumberingAfterBreak="0">
    <w:nsid w:val="14C63564"/>
    <w:multiLevelType w:val="multilevel"/>
    <w:tmpl w:val="390CF47C"/>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4" w15:restartNumberingAfterBreak="0">
    <w:nsid w:val="16086DED"/>
    <w:multiLevelType w:val="hybridMultilevel"/>
    <w:tmpl w:val="BDBEB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6CA7939"/>
    <w:multiLevelType w:val="hybridMultilevel"/>
    <w:tmpl w:val="4BE64D5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8" w15:restartNumberingAfterBreak="0">
    <w:nsid w:val="1E1D65EC"/>
    <w:multiLevelType w:val="hybridMultilevel"/>
    <w:tmpl w:val="D4DCAEC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0786666"/>
    <w:multiLevelType w:val="hybridMultilevel"/>
    <w:tmpl w:val="584CB4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556B42"/>
    <w:multiLevelType w:val="hybridMultilevel"/>
    <w:tmpl w:val="21C281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6CC2C6A"/>
    <w:multiLevelType w:val="hybridMultilevel"/>
    <w:tmpl w:val="2FAA0E4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2" w15:restartNumberingAfterBreak="0">
    <w:nsid w:val="357B629F"/>
    <w:multiLevelType w:val="multilevel"/>
    <w:tmpl w:val="A56CA2EE"/>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C6074B6"/>
    <w:multiLevelType w:val="hybridMultilevel"/>
    <w:tmpl w:val="DC925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E1273AF"/>
    <w:multiLevelType w:val="hybridMultilevel"/>
    <w:tmpl w:val="BDA05116"/>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25" w15:restartNumberingAfterBreak="0">
    <w:nsid w:val="40761F1E"/>
    <w:multiLevelType w:val="hybridMultilevel"/>
    <w:tmpl w:val="1646D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985ADE"/>
    <w:multiLevelType w:val="hybridMultilevel"/>
    <w:tmpl w:val="65EA3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7F390B"/>
    <w:multiLevelType w:val="hybridMultilevel"/>
    <w:tmpl w:val="4BE64D5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44A64538"/>
    <w:multiLevelType w:val="hybridMultilevel"/>
    <w:tmpl w:val="8FA8966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9"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30"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6429337F"/>
    <w:multiLevelType w:val="hybridMultilevel"/>
    <w:tmpl w:val="4BE64D5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15:restartNumberingAfterBreak="0">
    <w:nsid w:val="655D75D7"/>
    <w:multiLevelType w:val="hybridMultilevel"/>
    <w:tmpl w:val="9076879A"/>
    <w:lvl w:ilvl="0" w:tplc="029C707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5C02C0"/>
    <w:multiLevelType w:val="hybridMultilevel"/>
    <w:tmpl w:val="7C24D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F1641A"/>
    <w:multiLevelType w:val="hybridMultilevel"/>
    <w:tmpl w:val="FCA6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F421B5"/>
    <w:multiLevelType w:val="hybridMultilevel"/>
    <w:tmpl w:val="CC28BE6A"/>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6" w15:restartNumberingAfterBreak="0">
    <w:nsid w:val="68FC5336"/>
    <w:multiLevelType w:val="hybridMultilevel"/>
    <w:tmpl w:val="2FAA0E4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15:restartNumberingAfterBreak="0">
    <w:nsid w:val="6CA01669"/>
    <w:multiLevelType w:val="hybridMultilevel"/>
    <w:tmpl w:val="E0D83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422AF5"/>
    <w:multiLevelType w:val="hybridMultilevel"/>
    <w:tmpl w:val="50FEA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510FB"/>
    <w:multiLevelType w:val="hybridMultilevel"/>
    <w:tmpl w:val="F70C441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11"/>
  </w:num>
  <w:num w:numId="2">
    <w:abstractNumId w:val="29"/>
  </w:num>
  <w:num w:numId="3">
    <w:abstractNumId w:val="6"/>
  </w:num>
  <w:num w:numId="4">
    <w:abstractNumId w:val="4"/>
  </w:num>
  <w:num w:numId="5">
    <w:abstractNumId w:val="22"/>
  </w:num>
  <w:num w:numId="6">
    <w:abstractNumId w:val="12"/>
  </w:num>
  <w:num w:numId="7">
    <w:abstractNumId w:val="13"/>
  </w:num>
  <w:num w:numId="8">
    <w:abstractNumId w:val="17"/>
  </w:num>
  <w:num w:numId="9">
    <w:abstractNumId w:val="15"/>
  </w:num>
  <w:num w:numId="10">
    <w:abstractNumId w:val="30"/>
  </w:num>
  <w:num w:numId="11">
    <w:abstractNumId w:val="3"/>
  </w:num>
  <w:num w:numId="12">
    <w:abstractNumId w:val="10"/>
  </w:num>
  <w:num w:numId="13">
    <w:abstractNumId w:val="14"/>
  </w:num>
  <w:num w:numId="14">
    <w:abstractNumId w:val="1"/>
  </w:num>
  <w:num w:numId="15">
    <w:abstractNumId w:val="24"/>
  </w:num>
  <w:num w:numId="16">
    <w:abstractNumId w:val="25"/>
  </w:num>
  <w:num w:numId="17">
    <w:abstractNumId w:val="18"/>
  </w:num>
  <w:num w:numId="18">
    <w:abstractNumId w:val="5"/>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
  </w:num>
  <w:num w:numId="22">
    <w:abstractNumId w:val="38"/>
  </w:num>
  <w:num w:numId="23">
    <w:abstractNumId w:val="9"/>
  </w:num>
  <w:num w:numId="24">
    <w:abstractNumId w:val="8"/>
  </w:num>
  <w:num w:numId="25">
    <w:abstractNumId w:val="35"/>
  </w:num>
  <w:num w:numId="26">
    <w:abstractNumId w:val="19"/>
  </w:num>
  <w:num w:numId="27">
    <w:abstractNumId w:val="34"/>
  </w:num>
  <w:num w:numId="28">
    <w:abstractNumId w:val="20"/>
  </w:num>
  <w:num w:numId="29">
    <w:abstractNumId w:val="7"/>
  </w:num>
  <w:num w:numId="30">
    <w:abstractNumId w:val="27"/>
  </w:num>
  <w:num w:numId="31">
    <w:abstractNumId w:val="31"/>
  </w:num>
  <w:num w:numId="32">
    <w:abstractNumId w:val="16"/>
  </w:num>
  <w:num w:numId="33">
    <w:abstractNumId w:val="21"/>
  </w:num>
  <w:num w:numId="34">
    <w:abstractNumId w:val="23"/>
  </w:num>
  <w:num w:numId="35">
    <w:abstractNumId w:val="26"/>
  </w:num>
  <w:num w:numId="36">
    <w:abstractNumId w:val="33"/>
  </w:num>
  <w:num w:numId="37">
    <w:abstractNumId w:val="37"/>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28"/>
  </w:num>
  <w:num w:numId="43">
    <w:abstractNumId w:val="39"/>
  </w:num>
  <w:num w:numId="44">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12"/>
    <w:rsid w:val="00007573"/>
    <w:rsid w:val="00010B32"/>
    <w:rsid w:val="00010D42"/>
    <w:rsid w:val="00022B1E"/>
    <w:rsid w:val="00022F7B"/>
    <w:rsid w:val="000238C8"/>
    <w:rsid w:val="00030B52"/>
    <w:rsid w:val="00032869"/>
    <w:rsid w:val="000412AF"/>
    <w:rsid w:val="00053DA7"/>
    <w:rsid w:val="00063B4E"/>
    <w:rsid w:val="00075378"/>
    <w:rsid w:val="00086C68"/>
    <w:rsid w:val="00091E65"/>
    <w:rsid w:val="00094297"/>
    <w:rsid w:val="00094619"/>
    <w:rsid w:val="000A731D"/>
    <w:rsid w:val="000C498A"/>
    <w:rsid w:val="000C6D45"/>
    <w:rsid w:val="000D67CA"/>
    <w:rsid w:val="000D761B"/>
    <w:rsid w:val="000E4BD3"/>
    <w:rsid w:val="000E4F2C"/>
    <w:rsid w:val="000E588B"/>
    <w:rsid w:val="000F03C7"/>
    <w:rsid w:val="000F5C91"/>
    <w:rsid w:val="000F60FC"/>
    <w:rsid w:val="0010487D"/>
    <w:rsid w:val="00113835"/>
    <w:rsid w:val="00121833"/>
    <w:rsid w:val="001232F0"/>
    <w:rsid w:val="00131AE0"/>
    <w:rsid w:val="00137B19"/>
    <w:rsid w:val="0014086C"/>
    <w:rsid w:val="00141F40"/>
    <w:rsid w:val="00150406"/>
    <w:rsid w:val="00152BAE"/>
    <w:rsid w:val="00161973"/>
    <w:rsid w:val="00162CEB"/>
    <w:rsid w:val="001727F7"/>
    <w:rsid w:val="0018281E"/>
    <w:rsid w:val="00184365"/>
    <w:rsid w:val="00192520"/>
    <w:rsid w:val="00193E3C"/>
    <w:rsid w:val="001A1606"/>
    <w:rsid w:val="001A1AD6"/>
    <w:rsid w:val="001A1FDA"/>
    <w:rsid w:val="001A7F84"/>
    <w:rsid w:val="001B2402"/>
    <w:rsid w:val="001B28B2"/>
    <w:rsid w:val="001C58BD"/>
    <w:rsid w:val="001D021B"/>
    <w:rsid w:val="001E05FF"/>
    <w:rsid w:val="001F04A3"/>
    <w:rsid w:val="001F785D"/>
    <w:rsid w:val="002034F1"/>
    <w:rsid w:val="002073A3"/>
    <w:rsid w:val="00212F09"/>
    <w:rsid w:val="002132F2"/>
    <w:rsid w:val="002179A4"/>
    <w:rsid w:val="002229FB"/>
    <w:rsid w:val="00223887"/>
    <w:rsid w:val="002244DE"/>
    <w:rsid w:val="0022704A"/>
    <w:rsid w:val="00235E19"/>
    <w:rsid w:val="002457CE"/>
    <w:rsid w:val="00256F62"/>
    <w:rsid w:val="002612D3"/>
    <w:rsid w:val="00267C19"/>
    <w:rsid w:val="00270553"/>
    <w:rsid w:val="002828F9"/>
    <w:rsid w:val="002848FF"/>
    <w:rsid w:val="00285038"/>
    <w:rsid w:val="002A1D3A"/>
    <w:rsid w:val="002A25D8"/>
    <w:rsid w:val="002A75B9"/>
    <w:rsid w:val="002B2BD0"/>
    <w:rsid w:val="002B5AF7"/>
    <w:rsid w:val="002B6ED0"/>
    <w:rsid w:val="002C2B44"/>
    <w:rsid w:val="002C4D82"/>
    <w:rsid w:val="002C586C"/>
    <w:rsid w:val="002D3953"/>
    <w:rsid w:val="002D5814"/>
    <w:rsid w:val="002D65D8"/>
    <w:rsid w:val="002D6B40"/>
    <w:rsid w:val="002E1330"/>
    <w:rsid w:val="002E48E1"/>
    <w:rsid w:val="002E576C"/>
    <w:rsid w:val="002E7C37"/>
    <w:rsid w:val="002F40F6"/>
    <w:rsid w:val="002F5FF3"/>
    <w:rsid w:val="00301D42"/>
    <w:rsid w:val="0030736B"/>
    <w:rsid w:val="00322C79"/>
    <w:rsid w:val="00324EA3"/>
    <w:rsid w:val="00334B8B"/>
    <w:rsid w:val="00335DE3"/>
    <w:rsid w:val="003409AE"/>
    <w:rsid w:val="00340FD0"/>
    <w:rsid w:val="003430F8"/>
    <w:rsid w:val="003456A7"/>
    <w:rsid w:val="00345855"/>
    <w:rsid w:val="00346209"/>
    <w:rsid w:val="00354207"/>
    <w:rsid w:val="00356624"/>
    <w:rsid w:val="00360C1A"/>
    <w:rsid w:val="00361ADC"/>
    <w:rsid w:val="0036393F"/>
    <w:rsid w:val="00363D73"/>
    <w:rsid w:val="003707FB"/>
    <w:rsid w:val="00373288"/>
    <w:rsid w:val="00376496"/>
    <w:rsid w:val="00376B36"/>
    <w:rsid w:val="00380200"/>
    <w:rsid w:val="003852EC"/>
    <w:rsid w:val="00394D2E"/>
    <w:rsid w:val="00396E83"/>
    <w:rsid w:val="003A55CC"/>
    <w:rsid w:val="003A5A6C"/>
    <w:rsid w:val="003A71CF"/>
    <w:rsid w:val="003B0194"/>
    <w:rsid w:val="003B587F"/>
    <w:rsid w:val="003B618F"/>
    <w:rsid w:val="003B7004"/>
    <w:rsid w:val="003C1EE7"/>
    <w:rsid w:val="003C326D"/>
    <w:rsid w:val="003C680F"/>
    <w:rsid w:val="003E05A9"/>
    <w:rsid w:val="003E272D"/>
    <w:rsid w:val="003E2FB9"/>
    <w:rsid w:val="003E410F"/>
    <w:rsid w:val="003E7127"/>
    <w:rsid w:val="003F7609"/>
    <w:rsid w:val="0041622A"/>
    <w:rsid w:val="00422549"/>
    <w:rsid w:val="004323EB"/>
    <w:rsid w:val="004335DA"/>
    <w:rsid w:val="00434988"/>
    <w:rsid w:val="00435600"/>
    <w:rsid w:val="00441E16"/>
    <w:rsid w:val="004449B2"/>
    <w:rsid w:val="0044697E"/>
    <w:rsid w:val="00447032"/>
    <w:rsid w:val="00452DD4"/>
    <w:rsid w:val="00453F1F"/>
    <w:rsid w:val="00454EB2"/>
    <w:rsid w:val="00455203"/>
    <w:rsid w:val="00456727"/>
    <w:rsid w:val="0046439B"/>
    <w:rsid w:val="0046618F"/>
    <w:rsid w:val="0047675C"/>
    <w:rsid w:val="00477D6C"/>
    <w:rsid w:val="004839BB"/>
    <w:rsid w:val="00487BA4"/>
    <w:rsid w:val="00490B36"/>
    <w:rsid w:val="00493E53"/>
    <w:rsid w:val="004A25EC"/>
    <w:rsid w:val="004A504F"/>
    <w:rsid w:val="004B4837"/>
    <w:rsid w:val="004B545A"/>
    <w:rsid w:val="004B54FF"/>
    <w:rsid w:val="004B5C8D"/>
    <w:rsid w:val="004C3614"/>
    <w:rsid w:val="004C498C"/>
    <w:rsid w:val="004C5114"/>
    <w:rsid w:val="004C5E23"/>
    <w:rsid w:val="004D559B"/>
    <w:rsid w:val="004E7294"/>
    <w:rsid w:val="004E741B"/>
    <w:rsid w:val="004F3C13"/>
    <w:rsid w:val="004F69AD"/>
    <w:rsid w:val="004F76AA"/>
    <w:rsid w:val="004F7735"/>
    <w:rsid w:val="004F7C93"/>
    <w:rsid w:val="005032D6"/>
    <w:rsid w:val="00520420"/>
    <w:rsid w:val="00535D3F"/>
    <w:rsid w:val="005432C7"/>
    <w:rsid w:val="00570BD6"/>
    <w:rsid w:val="005724F9"/>
    <w:rsid w:val="005860B9"/>
    <w:rsid w:val="0059006A"/>
    <w:rsid w:val="005915DB"/>
    <w:rsid w:val="00592A4F"/>
    <w:rsid w:val="00594550"/>
    <w:rsid w:val="00594867"/>
    <w:rsid w:val="005A34A9"/>
    <w:rsid w:val="005A3E39"/>
    <w:rsid w:val="005A4C61"/>
    <w:rsid w:val="005A74A2"/>
    <w:rsid w:val="005A7AC4"/>
    <w:rsid w:val="005D1D4D"/>
    <w:rsid w:val="005D22B4"/>
    <w:rsid w:val="005D27E4"/>
    <w:rsid w:val="005E09BD"/>
    <w:rsid w:val="005E59DE"/>
    <w:rsid w:val="005F2DB6"/>
    <w:rsid w:val="005F3A83"/>
    <w:rsid w:val="00603A8C"/>
    <w:rsid w:val="00605173"/>
    <w:rsid w:val="006219FF"/>
    <w:rsid w:val="006225E2"/>
    <w:rsid w:val="006306E6"/>
    <w:rsid w:val="006329C7"/>
    <w:rsid w:val="00634763"/>
    <w:rsid w:val="00634E17"/>
    <w:rsid w:val="00634F4A"/>
    <w:rsid w:val="0067027F"/>
    <w:rsid w:val="00671515"/>
    <w:rsid w:val="00673A1C"/>
    <w:rsid w:val="00673AB4"/>
    <w:rsid w:val="00683982"/>
    <w:rsid w:val="006866F3"/>
    <w:rsid w:val="006B1F3B"/>
    <w:rsid w:val="006B6E89"/>
    <w:rsid w:val="006C080B"/>
    <w:rsid w:val="006C13DF"/>
    <w:rsid w:val="006C656A"/>
    <w:rsid w:val="006D1997"/>
    <w:rsid w:val="006F116B"/>
    <w:rsid w:val="006F533D"/>
    <w:rsid w:val="00702367"/>
    <w:rsid w:val="007049EB"/>
    <w:rsid w:val="00710277"/>
    <w:rsid w:val="0071383E"/>
    <w:rsid w:val="00714DD5"/>
    <w:rsid w:val="00721521"/>
    <w:rsid w:val="00726E5D"/>
    <w:rsid w:val="00727A70"/>
    <w:rsid w:val="00730736"/>
    <w:rsid w:val="007322FC"/>
    <w:rsid w:val="00734044"/>
    <w:rsid w:val="00735861"/>
    <w:rsid w:val="00745556"/>
    <w:rsid w:val="0074578A"/>
    <w:rsid w:val="00747E0D"/>
    <w:rsid w:val="00754730"/>
    <w:rsid w:val="00756EB6"/>
    <w:rsid w:val="00757297"/>
    <w:rsid w:val="00765CBB"/>
    <w:rsid w:val="00785552"/>
    <w:rsid w:val="007A034C"/>
    <w:rsid w:val="007A6FE8"/>
    <w:rsid w:val="007B0210"/>
    <w:rsid w:val="007B75A1"/>
    <w:rsid w:val="007C0DA9"/>
    <w:rsid w:val="007C3594"/>
    <w:rsid w:val="007C4517"/>
    <w:rsid w:val="007D2199"/>
    <w:rsid w:val="007D4C0A"/>
    <w:rsid w:val="007D6D25"/>
    <w:rsid w:val="007E2645"/>
    <w:rsid w:val="007E46C0"/>
    <w:rsid w:val="007E4948"/>
    <w:rsid w:val="007E790B"/>
    <w:rsid w:val="0080061D"/>
    <w:rsid w:val="0080221E"/>
    <w:rsid w:val="00802CB6"/>
    <w:rsid w:val="00810CF2"/>
    <w:rsid w:val="00811441"/>
    <w:rsid w:val="00813A65"/>
    <w:rsid w:val="008217B9"/>
    <w:rsid w:val="0083186A"/>
    <w:rsid w:val="008336A7"/>
    <w:rsid w:val="00841DD8"/>
    <w:rsid w:val="00842677"/>
    <w:rsid w:val="00846111"/>
    <w:rsid w:val="00850403"/>
    <w:rsid w:val="00864940"/>
    <w:rsid w:val="00864D1A"/>
    <w:rsid w:val="00865521"/>
    <w:rsid w:val="008673A3"/>
    <w:rsid w:val="00871831"/>
    <w:rsid w:val="0087232D"/>
    <w:rsid w:val="0088148D"/>
    <w:rsid w:val="00884FDA"/>
    <w:rsid w:val="00886E13"/>
    <w:rsid w:val="00892E93"/>
    <w:rsid w:val="00893A95"/>
    <w:rsid w:val="00896804"/>
    <w:rsid w:val="008A0507"/>
    <w:rsid w:val="008A4831"/>
    <w:rsid w:val="008B16BB"/>
    <w:rsid w:val="008B507E"/>
    <w:rsid w:val="008B541A"/>
    <w:rsid w:val="008C3EF1"/>
    <w:rsid w:val="008C3F9E"/>
    <w:rsid w:val="008C5E13"/>
    <w:rsid w:val="008D7F14"/>
    <w:rsid w:val="008E53BD"/>
    <w:rsid w:val="008E59B7"/>
    <w:rsid w:val="008E6567"/>
    <w:rsid w:val="008E7CB8"/>
    <w:rsid w:val="008F01BD"/>
    <w:rsid w:val="00902887"/>
    <w:rsid w:val="00905925"/>
    <w:rsid w:val="00906840"/>
    <w:rsid w:val="009105B8"/>
    <w:rsid w:val="00910F0E"/>
    <w:rsid w:val="00914078"/>
    <w:rsid w:val="00922615"/>
    <w:rsid w:val="009235BD"/>
    <w:rsid w:val="00924ED7"/>
    <w:rsid w:val="00927CE5"/>
    <w:rsid w:val="0093410F"/>
    <w:rsid w:val="00945C80"/>
    <w:rsid w:val="00945D09"/>
    <w:rsid w:val="00951346"/>
    <w:rsid w:val="00956D50"/>
    <w:rsid w:val="00960075"/>
    <w:rsid w:val="009616E6"/>
    <w:rsid w:val="00962609"/>
    <w:rsid w:val="00972A79"/>
    <w:rsid w:val="00972DE3"/>
    <w:rsid w:val="009761DF"/>
    <w:rsid w:val="00980A46"/>
    <w:rsid w:val="00987262"/>
    <w:rsid w:val="00991D77"/>
    <w:rsid w:val="00992A0E"/>
    <w:rsid w:val="00992DFD"/>
    <w:rsid w:val="009941F9"/>
    <w:rsid w:val="009A0998"/>
    <w:rsid w:val="009A2C7B"/>
    <w:rsid w:val="009A4EFE"/>
    <w:rsid w:val="009B2D96"/>
    <w:rsid w:val="009B308D"/>
    <w:rsid w:val="009B3969"/>
    <w:rsid w:val="009B5C1A"/>
    <w:rsid w:val="009B76D4"/>
    <w:rsid w:val="009D71F2"/>
    <w:rsid w:val="009D7BF4"/>
    <w:rsid w:val="009F09CF"/>
    <w:rsid w:val="009F5017"/>
    <w:rsid w:val="009F5448"/>
    <w:rsid w:val="009F6F2E"/>
    <w:rsid w:val="009F7908"/>
    <w:rsid w:val="00A1212F"/>
    <w:rsid w:val="00A16A2A"/>
    <w:rsid w:val="00A232A9"/>
    <w:rsid w:val="00A234F9"/>
    <w:rsid w:val="00A341F0"/>
    <w:rsid w:val="00A4781E"/>
    <w:rsid w:val="00A50648"/>
    <w:rsid w:val="00A51C4C"/>
    <w:rsid w:val="00A55039"/>
    <w:rsid w:val="00A60D51"/>
    <w:rsid w:val="00A816C9"/>
    <w:rsid w:val="00A8458A"/>
    <w:rsid w:val="00A8658E"/>
    <w:rsid w:val="00A86D1F"/>
    <w:rsid w:val="00AB1C2F"/>
    <w:rsid w:val="00AB49A4"/>
    <w:rsid w:val="00AB520B"/>
    <w:rsid w:val="00AC52E6"/>
    <w:rsid w:val="00AD2617"/>
    <w:rsid w:val="00AD3EF2"/>
    <w:rsid w:val="00AD6F0F"/>
    <w:rsid w:val="00AE2DEB"/>
    <w:rsid w:val="00AE2E05"/>
    <w:rsid w:val="00AE3AF5"/>
    <w:rsid w:val="00AF1660"/>
    <w:rsid w:val="00AF6931"/>
    <w:rsid w:val="00B025EB"/>
    <w:rsid w:val="00B103B4"/>
    <w:rsid w:val="00B11D62"/>
    <w:rsid w:val="00B13852"/>
    <w:rsid w:val="00B1725D"/>
    <w:rsid w:val="00B22F23"/>
    <w:rsid w:val="00B32034"/>
    <w:rsid w:val="00B32145"/>
    <w:rsid w:val="00B32E14"/>
    <w:rsid w:val="00B33DE4"/>
    <w:rsid w:val="00B35DAE"/>
    <w:rsid w:val="00B36CFB"/>
    <w:rsid w:val="00B50B89"/>
    <w:rsid w:val="00B55C73"/>
    <w:rsid w:val="00B57D74"/>
    <w:rsid w:val="00B64499"/>
    <w:rsid w:val="00B64DD8"/>
    <w:rsid w:val="00B66E16"/>
    <w:rsid w:val="00B71EBD"/>
    <w:rsid w:val="00B8202C"/>
    <w:rsid w:val="00B82D6B"/>
    <w:rsid w:val="00B87539"/>
    <w:rsid w:val="00B876BA"/>
    <w:rsid w:val="00B8777A"/>
    <w:rsid w:val="00B94F5C"/>
    <w:rsid w:val="00B96702"/>
    <w:rsid w:val="00B97A02"/>
    <w:rsid w:val="00BA03DB"/>
    <w:rsid w:val="00BA3C28"/>
    <w:rsid w:val="00BA5DA4"/>
    <w:rsid w:val="00BA7257"/>
    <w:rsid w:val="00BA7909"/>
    <w:rsid w:val="00BC0B11"/>
    <w:rsid w:val="00BC3443"/>
    <w:rsid w:val="00BD042E"/>
    <w:rsid w:val="00BD6C4C"/>
    <w:rsid w:val="00BE0AB0"/>
    <w:rsid w:val="00BE1857"/>
    <w:rsid w:val="00BE218B"/>
    <w:rsid w:val="00BF3581"/>
    <w:rsid w:val="00BF4E1C"/>
    <w:rsid w:val="00BF6714"/>
    <w:rsid w:val="00C003D9"/>
    <w:rsid w:val="00C033A8"/>
    <w:rsid w:val="00C066AB"/>
    <w:rsid w:val="00C10393"/>
    <w:rsid w:val="00C1110F"/>
    <w:rsid w:val="00C233A4"/>
    <w:rsid w:val="00C23A86"/>
    <w:rsid w:val="00C335AA"/>
    <w:rsid w:val="00C35FA8"/>
    <w:rsid w:val="00C37B3F"/>
    <w:rsid w:val="00C402B0"/>
    <w:rsid w:val="00C40F8D"/>
    <w:rsid w:val="00C511B1"/>
    <w:rsid w:val="00C54B0B"/>
    <w:rsid w:val="00C63782"/>
    <w:rsid w:val="00C63930"/>
    <w:rsid w:val="00C63C58"/>
    <w:rsid w:val="00C722B2"/>
    <w:rsid w:val="00C735FA"/>
    <w:rsid w:val="00C73DEA"/>
    <w:rsid w:val="00C76EB6"/>
    <w:rsid w:val="00C80E59"/>
    <w:rsid w:val="00C8430D"/>
    <w:rsid w:val="00C85E6C"/>
    <w:rsid w:val="00C878DE"/>
    <w:rsid w:val="00C9707E"/>
    <w:rsid w:val="00CA5159"/>
    <w:rsid w:val="00CC7137"/>
    <w:rsid w:val="00CD18C8"/>
    <w:rsid w:val="00CD39C5"/>
    <w:rsid w:val="00CD7539"/>
    <w:rsid w:val="00CF0E59"/>
    <w:rsid w:val="00CF287F"/>
    <w:rsid w:val="00CF5B6E"/>
    <w:rsid w:val="00CF6D12"/>
    <w:rsid w:val="00D12619"/>
    <w:rsid w:val="00D32CA4"/>
    <w:rsid w:val="00D33DF7"/>
    <w:rsid w:val="00D346A5"/>
    <w:rsid w:val="00D352C3"/>
    <w:rsid w:val="00D455DB"/>
    <w:rsid w:val="00D47F04"/>
    <w:rsid w:val="00D521CB"/>
    <w:rsid w:val="00D5452F"/>
    <w:rsid w:val="00D72F4F"/>
    <w:rsid w:val="00D73E3D"/>
    <w:rsid w:val="00D835E3"/>
    <w:rsid w:val="00D90D66"/>
    <w:rsid w:val="00D97DCB"/>
    <w:rsid w:val="00DA1FB4"/>
    <w:rsid w:val="00DA393D"/>
    <w:rsid w:val="00DB0547"/>
    <w:rsid w:val="00DB1233"/>
    <w:rsid w:val="00DD0086"/>
    <w:rsid w:val="00DD29F2"/>
    <w:rsid w:val="00DD7D2F"/>
    <w:rsid w:val="00DE6045"/>
    <w:rsid w:val="00DF0204"/>
    <w:rsid w:val="00DF203F"/>
    <w:rsid w:val="00DF2772"/>
    <w:rsid w:val="00DF2D62"/>
    <w:rsid w:val="00DF68D6"/>
    <w:rsid w:val="00DF6D78"/>
    <w:rsid w:val="00DF7E48"/>
    <w:rsid w:val="00E030BC"/>
    <w:rsid w:val="00E25FD3"/>
    <w:rsid w:val="00E43D1F"/>
    <w:rsid w:val="00E46635"/>
    <w:rsid w:val="00E579AA"/>
    <w:rsid w:val="00E62570"/>
    <w:rsid w:val="00E72327"/>
    <w:rsid w:val="00E77325"/>
    <w:rsid w:val="00E82782"/>
    <w:rsid w:val="00E84369"/>
    <w:rsid w:val="00E8711D"/>
    <w:rsid w:val="00E90078"/>
    <w:rsid w:val="00E92E4D"/>
    <w:rsid w:val="00E93FF1"/>
    <w:rsid w:val="00E94D4E"/>
    <w:rsid w:val="00E97423"/>
    <w:rsid w:val="00E97CD6"/>
    <w:rsid w:val="00EA127F"/>
    <w:rsid w:val="00EA2E77"/>
    <w:rsid w:val="00EB52C0"/>
    <w:rsid w:val="00EB615E"/>
    <w:rsid w:val="00EC32AE"/>
    <w:rsid w:val="00EC3844"/>
    <w:rsid w:val="00EC40FB"/>
    <w:rsid w:val="00EC4929"/>
    <w:rsid w:val="00EC717C"/>
    <w:rsid w:val="00ED1510"/>
    <w:rsid w:val="00ED5548"/>
    <w:rsid w:val="00ED6CB9"/>
    <w:rsid w:val="00EF434F"/>
    <w:rsid w:val="00F033FA"/>
    <w:rsid w:val="00F13343"/>
    <w:rsid w:val="00F34755"/>
    <w:rsid w:val="00F36CDD"/>
    <w:rsid w:val="00F40B6B"/>
    <w:rsid w:val="00F434B4"/>
    <w:rsid w:val="00F52AC0"/>
    <w:rsid w:val="00F63892"/>
    <w:rsid w:val="00F63AB3"/>
    <w:rsid w:val="00F63AED"/>
    <w:rsid w:val="00F6748D"/>
    <w:rsid w:val="00F70147"/>
    <w:rsid w:val="00F84556"/>
    <w:rsid w:val="00F8553D"/>
    <w:rsid w:val="00F8565E"/>
    <w:rsid w:val="00F96832"/>
    <w:rsid w:val="00FA04F0"/>
    <w:rsid w:val="00FA2D2A"/>
    <w:rsid w:val="00FA685A"/>
    <w:rsid w:val="00FB4D3D"/>
    <w:rsid w:val="00FC1A57"/>
    <w:rsid w:val="00FC3120"/>
    <w:rsid w:val="00FD310F"/>
    <w:rsid w:val="00FE33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6C0EEBA"/>
  <w15:docId w15:val="{B7611D5D-7A04-4E15-92A5-833136BD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B16BB"/>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8673A3"/>
    <w:pPr>
      <w:keepNext/>
      <w:keepLines/>
      <w:pageBreakBefore/>
      <w:numPr>
        <w:numId w:val="6"/>
      </w:numPr>
      <w:tabs>
        <w:tab w:val="clear" w:pos="992"/>
        <w:tab w:val="num" w:pos="851"/>
      </w:tabs>
      <w:spacing w:before="240" w:line="264" w:lineRule="auto"/>
      <w:ind w:left="851" w:hanging="851"/>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673A3"/>
    <w:pPr>
      <w:keepNext/>
      <w:keepLines/>
      <w:numPr>
        <w:ilvl w:val="1"/>
        <w:numId w:val="6"/>
      </w:numPr>
      <w:tabs>
        <w:tab w:val="clear" w:pos="992"/>
        <w:tab w:val="num" w:pos="851"/>
      </w:tabs>
      <w:spacing w:before="300" w:after="0" w:line="240" w:lineRule="auto"/>
      <w:ind w:left="851" w:right="567" w:hanging="851"/>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1"/>
    <w:qFormat/>
    <w:rsid w:val="008673A3"/>
    <w:pPr>
      <w:keepNext/>
      <w:keepLines/>
      <w:numPr>
        <w:ilvl w:val="2"/>
        <w:numId w:val="6"/>
      </w:numPr>
      <w:tabs>
        <w:tab w:val="clear" w:pos="992"/>
        <w:tab w:val="num" w:pos="851"/>
      </w:tabs>
      <w:spacing w:before="300" w:after="0" w:line="240" w:lineRule="auto"/>
      <w:ind w:left="851" w:hanging="851"/>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1F04A3"/>
    <w:pPr>
      <w:keepNext/>
      <w:keepLines/>
      <w:spacing w:before="300" w:after="0" w:line="240"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914078"/>
    <w:pPr>
      <w:keepNext/>
      <w:keepLines/>
      <w:numPr>
        <w:ilvl w:val="5"/>
        <w:numId w:val="6"/>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91407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1F04A3"/>
    <w:pPr>
      <w:spacing w:before="60" w:after="80" w:line="250" w:lineRule="atLeast"/>
      <w:jc w:val="left"/>
    </w:pPr>
  </w:style>
  <w:style w:type="character" w:customStyle="1" w:styleId="BodyTextChar">
    <w:name w:val="Body Text Char"/>
    <w:basedOn w:val="DefaultParagraphFont"/>
    <w:link w:val="BodyText"/>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3"/>
      </w:numPr>
      <w:tabs>
        <w:tab w:val="clear" w:pos="3118"/>
        <w:tab w:val="num" w:pos="2126"/>
        <w:tab w:val="left" w:pos="2394"/>
      </w:tabs>
      <w:ind w:left="0"/>
    </w:pPr>
  </w:style>
  <w:style w:type="character" w:customStyle="1" w:styleId="Heading2Char">
    <w:name w:val="Heading 2 Char"/>
    <w:basedOn w:val="DefaultParagraphFont"/>
    <w:link w:val="Heading2"/>
    <w:uiPriority w:val="1"/>
    <w:rsid w:val="008673A3"/>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numPr>
        <w:numId w:val="3"/>
      </w:numPr>
      <w:ind w:left="851" w:hanging="851"/>
    </w:pPr>
    <w:rPr>
      <w:noProof/>
      <w:lang w:eastAsia="en-AU"/>
    </w:rPr>
  </w:style>
  <w:style w:type="character" w:customStyle="1" w:styleId="Heading3Char">
    <w:name w:val="Heading 3 Char"/>
    <w:basedOn w:val="DefaultParagraphFont"/>
    <w:link w:val="Heading3"/>
    <w:uiPriority w:val="1"/>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qFormat/>
    <w:rsid w:val="008673A3"/>
    <w:pPr>
      <w:numPr>
        <w:numId w:val="3"/>
      </w:numPr>
      <w:ind w:left="851" w:hanging="851"/>
    </w:pPr>
    <w:rPr>
      <w:bCs w:val="0"/>
    </w:rPr>
  </w:style>
  <w:style w:type="character" w:customStyle="1" w:styleId="Heading4Char">
    <w:name w:val="Heading 4 Char"/>
    <w:basedOn w:val="DefaultParagraphFont"/>
    <w:link w:val="Heading4"/>
    <w:uiPriority w:val="1"/>
    <w:rsid w:val="001F04A3"/>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8673A3"/>
    <w:pPr>
      <w:numPr>
        <w:numId w:val="5"/>
      </w:numPr>
      <w:tabs>
        <w:tab w:val="clear" w:pos="992"/>
        <w:tab w:val="num" w:pos="851"/>
      </w:tabs>
      <w:spacing w:after="60" w:line="264" w:lineRule="auto"/>
      <w:ind w:left="851" w:hanging="851"/>
      <w:jc w:val="left"/>
    </w:pPr>
  </w:style>
  <w:style w:type="paragraph" w:customStyle="1" w:styleId="CaptionFigure">
    <w:name w:val="Caption Figure"/>
    <w:basedOn w:val="Caption"/>
    <w:next w:val="Figure"/>
    <w:qFormat/>
    <w:rsid w:val="008673A3"/>
    <w:pPr>
      <w:numPr>
        <w:numId w:val="4"/>
      </w:numPr>
      <w:tabs>
        <w:tab w:val="clear" w:pos="992"/>
        <w:tab w:val="num" w:pos="851"/>
      </w:tabs>
      <w:spacing w:after="60" w:line="264" w:lineRule="auto"/>
      <w:ind w:left="851" w:hanging="851"/>
      <w:jc w:val="left"/>
    </w:pPr>
  </w:style>
  <w:style w:type="table" w:styleId="TableGrid">
    <w:name w:val="Table Grid"/>
    <w:aliases w:val="AEMO"/>
    <w:basedOn w:val="TableNormal"/>
    <w:uiPriority w:val="39"/>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914078"/>
    <w:pPr>
      <w:keepNext/>
      <w:spacing w:before="240" w:after="40" w:line="240" w:lineRule="auto"/>
    </w:pPr>
    <w:rPr>
      <w:b/>
      <w:bCs/>
      <w:sz w:val="18"/>
      <w:szCs w:val="18"/>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914078"/>
    <w:pPr>
      <w:spacing w:line="240" w:lineRule="auto"/>
    </w:pPr>
    <w:rPr>
      <w:szCs w:val="20"/>
    </w:rPr>
  </w:style>
  <w:style w:type="character" w:customStyle="1" w:styleId="CommentTextChar">
    <w:name w:val="Comment Text Char"/>
    <w:basedOn w:val="DefaultParagraphFont"/>
    <w:link w:val="CommentText"/>
    <w:uiPriority w:val="99"/>
    <w:semiHidden/>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91407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914078"/>
    <w:rPr>
      <w:vertAlign w:val="superscript"/>
    </w:rPr>
  </w:style>
  <w:style w:type="paragraph" w:styleId="FootnoteText">
    <w:name w:val="footnote text"/>
    <w:basedOn w:val="Normal"/>
    <w:link w:val="FootnoteTextChar"/>
    <w:uiPriority w:val="99"/>
    <w:semiHidden/>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semiHidden/>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pPr>
      <w:numPr>
        <w:ilvl w:val="0"/>
        <w:numId w:val="0"/>
      </w:numPr>
    </w:pPr>
  </w:style>
  <w:style w:type="paragraph" w:customStyle="1" w:styleId="ForewordHeading3">
    <w:name w:val="Foreword Heading 3"/>
    <w:basedOn w:val="Heading3"/>
    <w:next w:val="BodyText"/>
    <w:rsid w:val="00914078"/>
    <w:pPr>
      <w:numPr>
        <w:ilvl w:val="0"/>
        <w:numId w:val="0"/>
      </w:numPr>
    </w:pPr>
  </w:style>
  <w:style w:type="character" w:customStyle="1" w:styleId="Heading5Char">
    <w:name w:val="Heading 5 Char"/>
    <w:basedOn w:val="DefaultParagraphFont"/>
    <w:link w:val="Heading5"/>
    <w:uiPriority w:val="1"/>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uiPriority w:val="99"/>
    <w:rsid w:val="004335DA"/>
    <w:rPr>
      <w:rFonts w:asciiTheme="minorHAnsi" w:eastAsia="Calibri" w:hAnsiTheme="minorHAnsi" w:cs="Times New Roman"/>
      <w:b w:val="0"/>
      <w:color w:val="000000" w:themeColor="text1"/>
      <w:sz w:val="20"/>
      <w:szCs w:val="24"/>
      <w:u w:val="singl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basedOn w:val="BodyText"/>
    <w:qFormat/>
    <w:rsid w:val="005915DB"/>
    <w:pPr>
      <w:numPr>
        <w:numId w:val="7"/>
      </w:numPr>
    </w:pPr>
  </w:style>
  <w:style w:type="paragraph" w:styleId="ListBullet2">
    <w:name w:val="List Bullet 2"/>
    <w:basedOn w:val="ListBullet"/>
    <w:qFormat/>
    <w:rsid w:val="005915DB"/>
    <w:pPr>
      <w:numPr>
        <w:ilvl w:val="1"/>
      </w:numPr>
    </w:pPr>
  </w:style>
  <w:style w:type="paragraph" w:styleId="ListBullet3">
    <w:name w:val="List Bullet 3"/>
    <w:basedOn w:val="ListBullet2"/>
    <w:rsid w:val="005915DB"/>
    <w:pPr>
      <w:numPr>
        <w:ilvl w:val="2"/>
      </w:numPr>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8"/>
      </w:numPr>
    </w:pPr>
  </w:style>
  <w:style w:type="paragraph" w:styleId="ListNumber">
    <w:name w:val="List Number"/>
    <w:basedOn w:val="Normal"/>
    <w:uiPriority w:val="9"/>
    <w:rsid w:val="00914078"/>
    <w:pPr>
      <w:numPr>
        <w:numId w:val="9"/>
      </w:numPr>
      <w:spacing w:after="60" w:line="260" w:lineRule="atLeast"/>
      <w:jc w:val="left"/>
    </w:pPr>
    <w:rPr>
      <w:szCs w:val="18"/>
    </w:rPr>
  </w:style>
  <w:style w:type="paragraph" w:styleId="ListNumber2">
    <w:name w:val="List Number 2"/>
    <w:basedOn w:val="Normal"/>
    <w:uiPriority w:val="10"/>
    <w:rsid w:val="00914078"/>
    <w:pPr>
      <w:numPr>
        <w:ilvl w:val="1"/>
        <w:numId w:val="9"/>
      </w:numPr>
      <w:spacing w:after="60" w:line="260" w:lineRule="atLeast"/>
    </w:pPr>
  </w:style>
  <w:style w:type="paragraph" w:styleId="ListNumber3">
    <w:name w:val="List Number 3"/>
    <w:basedOn w:val="Normal"/>
    <w:uiPriority w:val="11"/>
    <w:rsid w:val="00914078"/>
    <w:pPr>
      <w:numPr>
        <w:ilvl w:val="2"/>
        <w:numId w:val="9"/>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qFormat/>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semiHidden/>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914078"/>
    <w:pPr>
      <w:spacing w:before="40" w:after="40" w:line="240" w:lineRule="auto"/>
    </w:pPr>
    <w:rPr>
      <w:sz w:val="16"/>
    </w:rPr>
  </w:style>
  <w:style w:type="paragraph" w:customStyle="1" w:styleId="TableBullet">
    <w:name w:val="Table Bullet"/>
    <w:basedOn w:val="TableText"/>
    <w:uiPriority w:val="3"/>
    <w:qFormat/>
    <w:rsid w:val="00914078"/>
    <w:pPr>
      <w:numPr>
        <w:numId w:val="10"/>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914078"/>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uiPriority w:val="99"/>
    <w:semiHidden/>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5"/>
    <w:qFormat/>
    <w:rsid w:val="00914078"/>
    <w:pPr>
      <w:keepNext/>
      <w:spacing w:after="60" w:line="240" w:lineRule="auto"/>
    </w:pPr>
    <w:rPr>
      <w:color w:val="000000"/>
      <w:sz w:val="16"/>
    </w:rPr>
  </w:style>
  <w:style w:type="paragraph" w:styleId="Title">
    <w:name w:val="Title"/>
    <w:basedOn w:val="Normal"/>
    <w:next w:val="Normal"/>
    <w:link w:val="TitleChar"/>
    <w:uiPriority w:val="4"/>
    <w:semiHidden/>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914078"/>
  </w:style>
  <w:style w:type="paragraph" w:styleId="TOC1">
    <w:name w:val="toc 1"/>
    <w:basedOn w:val="Normal"/>
    <w:next w:val="Normal"/>
    <w:uiPriority w:val="39"/>
    <w:rsid w:val="008673A3"/>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8673A3"/>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semiHidden/>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914078"/>
    <w:pPr>
      <w:spacing w:after="100"/>
      <w:ind w:left="1200"/>
    </w:p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CommentReference">
    <w:name w:val="annotation reference"/>
    <w:basedOn w:val="DefaultParagraphFont"/>
    <w:uiPriority w:val="99"/>
    <w:semiHidden/>
    <w:unhideWhenUsed/>
    <w:rsid w:val="00A4781E"/>
    <w:rPr>
      <w:sz w:val="16"/>
      <w:szCs w:val="16"/>
    </w:rPr>
  </w:style>
  <w:style w:type="table" w:styleId="PlainTable1">
    <w:name w:val="Plain Table 1"/>
    <w:basedOn w:val="TableNormal"/>
    <w:uiPriority w:val="41"/>
    <w:rsid w:val="001232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2D6B40"/>
    <w:pPr>
      <w:spacing w:after="0" w:line="240" w:lineRule="auto"/>
    </w:pPr>
    <w:tblPr>
      <w:tblStyleRowBandSize w:val="1"/>
      <w:tblStyleColBandSize w:val="1"/>
      <w:tblBorders>
        <w:top w:val="single" w:sz="4" w:space="0" w:color="4F8CCA" w:themeColor="accent6" w:themeTint="99"/>
        <w:left w:val="single" w:sz="4" w:space="0" w:color="4F8CCA" w:themeColor="accent6" w:themeTint="99"/>
        <w:bottom w:val="single" w:sz="4" w:space="0" w:color="4F8CCA" w:themeColor="accent6" w:themeTint="99"/>
        <w:right w:val="single" w:sz="4" w:space="0" w:color="4F8CCA" w:themeColor="accent6" w:themeTint="99"/>
        <w:insideH w:val="single" w:sz="4" w:space="0" w:color="4F8CCA" w:themeColor="accent6" w:themeTint="99"/>
        <w:insideV w:val="single" w:sz="4" w:space="0" w:color="4F8CCA" w:themeColor="accent6" w:themeTint="99"/>
      </w:tblBorders>
    </w:tblPr>
    <w:tblStylePr w:type="firstRow">
      <w:rPr>
        <w:b/>
        <w:bCs/>
        <w:color w:val="FFFFFF" w:themeColor="background1"/>
      </w:rPr>
      <w:tblPr/>
      <w:tcPr>
        <w:tcBorders>
          <w:top w:val="single" w:sz="4" w:space="0" w:color="1E4164" w:themeColor="accent6"/>
          <w:left w:val="single" w:sz="4" w:space="0" w:color="1E4164" w:themeColor="accent6"/>
          <w:bottom w:val="single" w:sz="4" w:space="0" w:color="1E4164" w:themeColor="accent6"/>
          <w:right w:val="single" w:sz="4" w:space="0" w:color="1E4164" w:themeColor="accent6"/>
          <w:insideH w:val="nil"/>
          <w:insideV w:val="nil"/>
        </w:tcBorders>
        <w:shd w:val="clear" w:color="auto" w:fill="1E4164" w:themeFill="accent6"/>
      </w:tcPr>
    </w:tblStylePr>
    <w:tblStylePr w:type="lastRow">
      <w:rPr>
        <w:b/>
        <w:bCs/>
      </w:rPr>
      <w:tblPr/>
      <w:tcPr>
        <w:tcBorders>
          <w:top w:val="double" w:sz="4" w:space="0" w:color="1E4164" w:themeColor="accent6"/>
        </w:tcBorders>
      </w:tcPr>
    </w:tblStylePr>
    <w:tblStylePr w:type="firstCol">
      <w:rPr>
        <w:b/>
        <w:bCs/>
      </w:rPr>
    </w:tblStylePr>
    <w:tblStylePr w:type="lastCol">
      <w:rPr>
        <w:b/>
        <w:bCs/>
      </w:rPr>
    </w:tblStylePr>
    <w:tblStylePr w:type="band1Vert">
      <w:tblPr/>
      <w:tcPr>
        <w:shd w:val="clear" w:color="auto" w:fill="C4D8ED" w:themeFill="accent6" w:themeFillTint="33"/>
      </w:tcPr>
    </w:tblStylePr>
    <w:tblStylePr w:type="band1Horz">
      <w:tblPr/>
      <w:tcPr>
        <w:shd w:val="clear" w:color="auto" w:fill="C4D8ED" w:themeFill="accent6" w:themeFillTint="33"/>
      </w:tcPr>
    </w:tblStylePr>
  </w:style>
  <w:style w:type="paragraph" w:styleId="Revision">
    <w:name w:val="Revision"/>
    <w:hidden/>
    <w:uiPriority w:val="99"/>
    <w:semiHidden/>
    <w:rsid w:val="005724F9"/>
    <w:pPr>
      <w:spacing w:after="0" w:line="240" w:lineRule="auto"/>
    </w:pPr>
    <w:rPr>
      <w:rFonts w:ascii="Arial" w:eastAsia="Calibri"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207762430">
      <w:bodyDiv w:val="1"/>
      <w:marLeft w:val="0"/>
      <w:marRight w:val="0"/>
      <w:marTop w:val="0"/>
      <w:marBottom w:val="0"/>
      <w:divBdr>
        <w:top w:val="none" w:sz="0" w:space="0" w:color="auto"/>
        <w:left w:val="none" w:sz="0" w:space="0" w:color="auto"/>
        <w:bottom w:val="none" w:sz="0" w:space="0" w:color="auto"/>
        <w:right w:val="none" w:sz="0" w:space="0" w:color="auto"/>
      </w:divBdr>
    </w:div>
    <w:div w:id="237138896">
      <w:bodyDiv w:val="1"/>
      <w:marLeft w:val="0"/>
      <w:marRight w:val="0"/>
      <w:marTop w:val="0"/>
      <w:marBottom w:val="0"/>
      <w:divBdr>
        <w:top w:val="none" w:sz="0" w:space="0" w:color="auto"/>
        <w:left w:val="none" w:sz="0" w:space="0" w:color="auto"/>
        <w:bottom w:val="none" w:sz="0" w:space="0" w:color="auto"/>
        <w:right w:val="none" w:sz="0" w:space="0" w:color="auto"/>
      </w:divBdr>
    </w:div>
    <w:div w:id="331110308">
      <w:bodyDiv w:val="1"/>
      <w:marLeft w:val="0"/>
      <w:marRight w:val="0"/>
      <w:marTop w:val="0"/>
      <w:marBottom w:val="0"/>
      <w:divBdr>
        <w:top w:val="none" w:sz="0" w:space="0" w:color="auto"/>
        <w:left w:val="none" w:sz="0" w:space="0" w:color="auto"/>
        <w:bottom w:val="none" w:sz="0" w:space="0" w:color="auto"/>
        <w:right w:val="none" w:sz="0" w:space="0" w:color="auto"/>
      </w:divBdr>
    </w:div>
    <w:div w:id="431051080">
      <w:bodyDiv w:val="1"/>
      <w:marLeft w:val="0"/>
      <w:marRight w:val="0"/>
      <w:marTop w:val="0"/>
      <w:marBottom w:val="0"/>
      <w:divBdr>
        <w:top w:val="none" w:sz="0" w:space="0" w:color="auto"/>
        <w:left w:val="none" w:sz="0" w:space="0" w:color="auto"/>
        <w:bottom w:val="none" w:sz="0" w:space="0" w:color="auto"/>
        <w:right w:val="none" w:sz="0" w:space="0" w:color="auto"/>
      </w:divBdr>
    </w:div>
    <w:div w:id="480004257">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6825170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71842516">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983779531">
      <w:bodyDiv w:val="1"/>
      <w:marLeft w:val="0"/>
      <w:marRight w:val="0"/>
      <w:marTop w:val="0"/>
      <w:marBottom w:val="0"/>
      <w:divBdr>
        <w:top w:val="none" w:sz="0" w:space="0" w:color="auto"/>
        <w:left w:val="none" w:sz="0" w:space="0" w:color="auto"/>
        <w:bottom w:val="none" w:sz="0" w:space="0" w:color="auto"/>
        <w:right w:val="none" w:sz="0" w:space="0" w:color="auto"/>
      </w:divBdr>
    </w:div>
    <w:div w:id="1373531079">
      <w:bodyDiv w:val="1"/>
      <w:marLeft w:val="0"/>
      <w:marRight w:val="0"/>
      <w:marTop w:val="0"/>
      <w:marBottom w:val="0"/>
      <w:divBdr>
        <w:top w:val="none" w:sz="0" w:space="0" w:color="auto"/>
        <w:left w:val="none" w:sz="0" w:space="0" w:color="auto"/>
        <w:bottom w:val="none" w:sz="0" w:space="0" w:color="auto"/>
        <w:right w:val="none" w:sz="0" w:space="0" w:color="auto"/>
      </w:divBdr>
    </w:div>
    <w:div w:id="1404992020">
      <w:bodyDiv w:val="1"/>
      <w:marLeft w:val="0"/>
      <w:marRight w:val="0"/>
      <w:marTop w:val="0"/>
      <w:marBottom w:val="0"/>
      <w:divBdr>
        <w:top w:val="none" w:sz="0" w:space="0" w:color="auto"/>
        <w:left w:val="none" w:sz="0" w:space="0" w:color="auto"/>
        <w:bottom w:val="none" w:sz="0" w:space="0" w:color="auto"/>
        <w:right w:val="none" w:sz="0" w:space="0" w:color="auto"/>
      </w:divBdr>
    </w:div>
    <w:div w:id="1527794307">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554925094">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37446944">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aemo.com.au/Privacy_and_Legal_Notices/Copyright_Permissions_Notice" TargetMode="External"/><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9.jpeg"/><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7.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8.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eports%202016\Non%20Major%20Reports\Standard%20versions\Electricity%20non-major%20report%20standard.dotx" TargetMode="External"/></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09ac0fb-07cb-4169-8a26-def2760b5502" ContentTypeId="0x0101009BE89D58CAF0934CA32A20BCFFD353DC" PreviousValue="false"/>
</file>

<file path=customXml/item2.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Mark Miller</DisplayName>
        <AccountId>1194</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7aea6583-16db-41ec-9430-a7cc84b52572</TermId>
        </TermInfo>
        <TermInfo xmlns="http://schemas.microsoft.com/office/infopath/2007/PartnerControls">
          <TermName xmlns="http://schemas.microsoft.com/office/infopath/2007/PartnerControls">Reliability</TermName>
          <TermId xmlns="http://schemas.microsoft.com/office/infopath/2007/PartnerControls">8222f0f8-c368-49be-9525-29ec16c8ec1d</TermId>
        </TermInfo>
      </Terms>
    </AEMOKeywordsTaxHTField0>
    <TaxCatchAll xmlns="a14523ce-dede-483e-883a-2d83261080bd">
      <Value>48</Value>
      <Value>68</Value>
      <Value>3</Value>
    </TaxCatchAll>
    <AEMODescription xmlns="a14523ce-dede-483e-883a-2d83261080bd">Consutation report on development of intiial version of reserve declaration guidelines Final V1.0</AEMODescription>
    <_dlc_DocId xmlns="a14523ce-dede-483e-883a-2d83261080bd">POWERSYSOPS-6-4997</_dlc_DocId>
    <_dlc_DocIdUrl xmlns="a14523ce-dede-483e-883a-2d83261080bd">
      <Url>http://sharedocs/sites/pso/_layouts/15/DocIdRedir.aspx?ID=POWERSYSOPS-6-4997</Url>
      <Description>POWERSYSOPS-6-4997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AEMODocument" ma:contentTypeID="0x0101009BE89D58CAF0934CA32A20BCFFD353DC006B6C6D69D9C13F4DA47DED36ADA5D1DF" ma:contentTypeVersion="54" ma:contentTypeDescription="" ma:contentTypeScope="" ma:versionID="bf365492bd3d2ad46baeada14f2dc3a5">
  <xsd:schema xmlns:xsd="http://www.w3.org/2001/XMLSchema" xmlns:xs="http://www.w3.org/2001/XMLSchema" xmlns:p="http://schemas.microsoft.com/office/2006/metadata/properties" xmlns:ns2="a14523ce-dede-483e-883a-2d83261080bd" targetNamespace="http://schemas.microsoft.com/office/2006/metadata/properties" ma:root="true" ma:fieldsID="8e801314ae0d6bbc1400a46d96eb6ca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0e1bd3a-0738-442e-b92a-648386ea248f}" ma:internalName="TaxCatchAll" ma:showField="CatchAllData"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e1bd3a-0738-442e-b92a-648386ea248f}" ma:internalName="TaxCatchAllLabel" ma:readOnly="true" ma:showField="CatchAllDataLabel" ma:web="36a0d0ce-308f-4bd7-8296-808ef7dd7305">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DFC9E-8EDF-48D8-AB03-41F5369F99BE}">
  <ds:schemaRefs>
    <ds:schemaRef ds:uri="Microsoft.SharePoint.Taxonomy.ContentTypeSync"/>
  </ds:schemaRefs>
</ds:datastoreItem>
</file>

<file path=customXml/itemProps2.xml><?xml version="1.0" encoding="utf-8"?>
<ds:datastoreItem xmlns:ds="http://schemas.openxmlformats.org/officeDocument/2006/customXml" ds:itemID="{ED359F95-CA3B-4048-9193-1C64FD50C306}">
  <ds:schemaRefs>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 ds:uri="a14523ce-dede-483e-883a-2d83261080bd"/>
    <ds:schemaRef ds:uri="http://www.w3.org/XML/1998/namespace"/>
    <ds:schemaRef ds:uri="http://purl.org/dc/dcmitype/"/>
  </ds:schemaRefs>
</ds:datastoreItem>
</file>

<file path=customXml/itemProps3.xml><?xml version="1.0" encoding="utf-8"?>
<ds:datastoreItem xmlns:ds="http://schemas.openxmlformats.org/officeDocument/2006/customXml" ds:itemID="{D0C0220C-880D-42B1-90C7-81EFF814A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97AAF-F814-4F2F-99E9-3005C67088D0}">
  <ds:schemaRefs>
    <ds:schemaRef ds:uri="http://schemas.microsoft.com/sharepoint/v3/contenttype/forms"/>
  </ds:schemaRefs>
</ds:datastoreItem>
</file>

<file path=customXml/itemProps5.xml><?xml version="1.0" encoding="utf-8"?>
<ds:datastoreItem xmlns:ds="http://schemas.openxmlformats.org/officeDocument/2006/customXml" ds:itemID="{D97865F5-41B4-4BCF-87A3-8A565697720C}">
  <ds:schemaRefs>
    <ds:schemaRef ds:uri="http://schemas.microsoft.com/sharepoint/events"/>
  </ds:schemaRefs>
</ds:datastoreItem>
</file>

<file path=customXml/itemProps6.xml><?xml version="1.0" encoding="utf-8"?>
<ds:datastoreItem xmlns:ds="http://schemas.openxmlformats.org/officeDocument/2006/customXml" ds:itemID="{2A25B80B-A20C-436A-8F7B-FCA5B9F85CBF}">
  <ds:schemaRefs>
    <ds:schemaRef ds:uri="http://schemas.microsoft.com/office/2006/metadata/customXsn"/>
  </ds:schemaRefs>
</ds:datastoreItem>
</file>

<file path=customXml/itemProps7.xml><?xml version="1.0" encoding="utf-8"?>
<ds:datastoreItem xmlns:ds="http://schemas.openxmlformats.org/officeDocument/2006/customXml" ds:itemID="{FCC05AA0-17AF-4914-8A40-56D3E431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Electricity non-major report standard</Template>
  <TotalTime>20</TotalTime>
  <Pages>30</Pages>
  <Words>7384</Words>
  <Characters>42094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Consultation Initial Reserve Level Declaration Guidelines Report Dec 17 Draft</vt:lpstr>
    </vt:vector>
  </TitlesOfParts>
  <Company/>
  <LinksUpToDate>false</LinksUpToDate>
  <CharactersWithSpaces>49380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Initial Reserve Level Declaration Guidelines Report Dec 17 Draft</dc:title>
  <dc:subject/>
  <dc:creator>Mark Miller</dc:creator>
  <cp:keywords/>
  <dc:description/>
  <cp:lastModifiedBy>Mark Miller</cp:lastModifiedBy>
  <cp:revision>7</cp:revision>
  <cp:lastPrinted>2017-12-19T02:28:00Z</cp:lastPrinted>
  <dcterms:created xsi:type="dcterms:W3CDTF">2017-12-19T02:40:00Z</dcterms:created>
  <dcterms:modified xsi:type="dcterms:W3CDTF">2017-12-19T22:10:00Z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0x0101009BE89D58CAF0934CA32A20BCFFD353DC006B6C6D69D9C13F4DA47DED36ADA5D1DF</vt:lpwstr>
  </property>
  <property fmtid="{D5CDD505-2E9C-101B-9397-08002B2CF9AE}" pid="3" name="_dlc_DocIdItemGuid">
    <vt:lpwstr>20c6083b-742c-4701-bc7d-c116580468e6</vt:lpwstr>
  </property>
  <property fmtid="{D5CDD505-2E9C-101B-9397-08002B2CF9AE}" pid="4" name="AEMODocumentType">
    <vt:lpwstr>3;#Operational Record|859762f2-4462-42eb-9744-c955c7e2c540</vt:lpwstr>
  </property>
  <property fmtid="{D5CDD505-2E9C-101B-9397-08002B2CF9AE}" pid="5" name="AEMOKeywords">
    <vt:lpwstr>48;#Consultation|7aea6583-16db-41ec-9430-a7cc84b52572;#68;#Reliability|8222f0f8-c368-49be-9525-29ec16c8ec1d</vt:lpwstr>
  </property>
</Properties>
</file>